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Times New Roman" w:hAnsi="Times New Roman" w:eastAsia="Times New Roman"/>
          <w:b/>
          <w:sz w:val="32"/>
        </w:rPr>
        <w:t>Supplementary Appendix</w:t>
      </w:r>
    </w:p>
    <w:p>
      <w:pPr>
        <w:spacing w:after="240"/>
        <w:jc w:val="center"/>
      </w:pPr>
      <w:r>
        <w:rPr>
          <w:rFonts w:ascii="Times New Roman" w:hAnsi="Times New Roman" w:eastAsia="Times New Roman"/>
          <w:sz w:val="22"/>
        </w:rPr>
        <w:t>Early prediction of 30-day mortality in critically ill patients with interstitial lung disease and acute hypoxemic respiratory failure: development and external validation of a clinically interpretable model</w:t>
      </w:r>
    </w:p>
    <w:p>
      <w:pPr>
        <w:spacing w:after="160" w:before="0"/>
      </w:pPr>
      <w:r>
        <w:rPr>
          <w:rFonts w:ascii="Times New Roman" w:hAnsi="Times New Roman" w:eastAsia="Times New Roman"/>
          <w:b w:val="0"/>
          <w:i w:val="0"/>
          <w:sz w:val="20"/>
        </w:rPr>
        <w:t>This appendix contains supplementary figures and tables referenced in the manuscript, together with supporting sensitivity and recalibration analyses.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Figure S1. Training-set ROC curves of the primary and augmented models</w:t>
      </w:r>
    </w:p>
    <w:p>
      <w:pPr>
        <w:jc w:val="center"/>
      </w:pPr>
      <w:r>
        <w:rPr>
          <w:rFonts w:ascii="Times New Roman" w:hAnsi="Times New Roman" w:eastAsia="Times New Roman"/>
          <w:sz w:val="22"/>
        </w:rPr>
        <w:drawing>
          <wp:inline xmlns:a="http://schemas.openxmlformats.org/drawingml/2006/main" xmlns:pic="http://schemas.openxmlformats.org/drawingml/2006/picture">
            <wp:extent cx="5669280" cy="487303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1_training_RO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8730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before="60"/>
      </w:pPr>
      <w:r>
        <w:rPr>
          <w:rFonts w:ascii="Times New Roman" w:hAnsi="Times New Roman" w:eastAsia="Times New Roman"/>
          <w:b w:val="0"/>
          <w:i w:val="0"/>
          <w:sz w:val="21"/>
        </w:rPr>
        <w:t>Receiver operating characteristic (ROC) curves of the primary and augmented models in the training set.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Table S1. Missing data before imputation in the development and external validation cohorts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Variable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Development cohort missing n (%)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External validation cohort missing n (%)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Age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 (1.5%)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Male sex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ILD subtype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Malignant cancer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 (2.5%)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PAH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6 (3.0%)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COPD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 (2.5%)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CAD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4 (2.0%)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CHF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 (2.5%)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CKD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 (1.5%)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GERD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 (1.0%)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Asthma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4 (2.0%)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Heart rate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 (1.0%)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Respiratory rate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 (1.5%)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MAP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6 (1.9%)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 (0.5%)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SpO₂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30 (15.2%)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FiO₂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25 (12.6%)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pH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4 (2.0%)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PaCO₂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6 (3.0%)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PaO₂/FiO₂ ratio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Lactate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26 (8.2%)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23 (11.6%)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White blood cell count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 (1.5%)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Hemoglobin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 (1.0%)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Platelet count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 (1.0%)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Albumin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95 (30.0%)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4 (2.0%)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LDH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93 (29.3%)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20 (10.1%)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Creatinine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4 (2.0%)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Total bilirubin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62 (19.6%)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 (2.5%)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GCS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10 (5.1%)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SOFA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18 (5.7%)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4 (2.0%)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Invasive mechanical ventilation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8 (4.0%)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Glucocorticoid use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 (0.0%)</w:t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</w:tr>
      <w:tr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Note: High missingness was observed for several laboratory variables, including albumin, LDH, and total bilirubin, and these patterns should be interpreted together with the imputation strategy described in Methods.</w:t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32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</w:tr>
    </w:tbl>
    <w:p>
      <w:pPr>
        <w:spacing w:after="160" w:before="0"/>
      </w:pPr>
      <w:r>
        <w:rPr>
          <w:rFonts w:ascii="Times New Roman" w:hAnsi="Times New Roman" w:eastAsia="Times New Roman"/>
          <w:b w:val="0"/>
          <w:i w:val="0"/>
          <w:sz w:val="20"/>
        </w:rPr>
        <w:t>Note: High missingness was observed for several laboratory variables, including albumin, LDH, and total bilirubin, and these patterns should be interpreted together with the imputation strategy described in Methods.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Table S2. Subgroup-specific discrimination of the primary model in the external validation cohort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Subgroup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n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Events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AUROC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95% CI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Overall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198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111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0.663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0.587–0.739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Male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139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77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0.706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0.614–0.791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Female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59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34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0.564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0.412–0.717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Age ≥70 years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105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59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0.706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0.605–0.800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Age &lt;70 years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90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51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0.628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0.512–0.745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Malignant cancer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52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33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0.589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0.419–0.743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No malignant cancer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141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74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0.698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0.609–0.781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Albumin ≥3.0 g/dL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110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56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0.712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0.608–0.810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Albumin &lt;3.0 g/dL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84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52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0.593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0.464–0.716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LDH ≥400 U/L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94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65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0.708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0.599–0.812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LDH &lt;400 U/L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84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37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0.621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0.494–0.741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CTD-ILD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56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39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0.621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0.449–0.774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Non-CTD-ILD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142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72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0.698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0.611–0.781</w:t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</w:tr>
      <w:tr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Note: Sample sizes vary across subgroups because of missing values for some subgroup-defining variables.</w:t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  <w:tc>
          <w:tcPr>
            <w:tcW w:type="dxa" w:w="1949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</w:r>
          </w:p>
        </w:tc>
      </w:tr>
    </w:tbl>
    <w:p>
      <w:pPr>
        <w:spacing w:after="160" w:before="0"/>
      </w:pPr>
      <w:r>
        <w:rPr>
          <w:rFonts w:ascii="Times New Roman" w:hAnsi="Times New Roman" w:eastAsia="Times New Roman"/>
          <w:b w:val="0"/>
          <w:i w:val="0"/>
          <w:sz w:val="20"/>
        </w:rPr>
        <w:t>Note: Sample sizes vary across subgroups because of missing values for some subgroup-defining variables.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Figure S2. External recalibration of the primary model</w:t>
      </w:r>
    </w:p>
    <w:p>
      <w:pPr>
        <w:jc w:val="center"/>
      </w:pPr>
      <w:r>
        <w:rPr>
          <w:rFonts w:ascii="Times New Roman" w:hAnsi="Times New Roman" w:eastAsia="Times New Roman"/>
          <w:sz w:val="22"/>
        </w:rPr>
        <w:drawing>
          <wp:inline xmlns:a="http://schemas.openxmlformats.org/drawingml/2006/main" xmlns:pic="http://schemas.openxmlformats.org/drawingml/2006/picture">
            <wp:extent cx="5669280" cy="231372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2_primary_recalibratio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3137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before="60"/>
      </w:pPr>
      <w:r>
        <w:rPr>
          <w:rFonts w:ascii="Times New Roman" w:hAnsi="Times New Roman" w:eastAsia="Times New Roman"/>
          <w:b w:val="0"/>
          <w:i w:val="0"/>
          <w:sz w:val="21"/>
        </w:rPr>
        <w:t>Panel A shows calibration curves for the original primary model, intercept-only recalibration, and logistic recalibration with updating of both intercept and slope in the external validation cohort. Panel B compares the distribution of predicted probabilities before and after logistic recalibration. The diagonal line indicates ideal calibration.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Table S3. External recalibration metrics for the primary model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Analysis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AUROC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AUROC 95% CI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Brier score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Calibration intercept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9"/>
              </w:rPr>
              <w:t>Calibration slope</w:t>
            </w:r>
          </w:p>
        </w:tc>
      </w:tr>
      <w:tr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Original primary model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0.663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0.589–0.736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0.246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0.47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0.443</w:t>
            </w:r>
          </w:p>
        </w:tc>
      </w:tr>
      <w:tr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Intercept-only recalibration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0.663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0.585–0.743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0.239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0.443</w:t>
            </w:r>
          </w:p>
        </w:tc>
      </w:tr>
      <w:tr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Intercept + slope recalibration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0.663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0.585–0.740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0.229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0</w:t>
            </w:r>
          </w:p>
        </w:tc>
        <w:tc>
          <w:tcPr>
            <w:tcW w:type="dxa" w:w="1624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9"/>
              </w:rPr>
              <w:t>1</w:t>
            </w:r>
          </w:p>
        </w:tc>
      </w:tr>
    </w:tbl>
    <w:p>
      <w:pPr>
        <w:spacing w:after="160" w:before="0"/>
      </w:pPr>
      <w:r>
        <w:rPr>
          <w:rFonts w:ascii="Times New Roman" w:hAnsi="Times New Roman" w:eastAsia="Times New Roman"/>
          <w:b w:val="0"/>
          <w:i w:val="0"/>
          <w:sz w:val="20"/>
        </w:rPr>
        <w:t>Note: Recalibration was assessed in the external validation cohort. Intercept + slope recalibration refers to logistic recalibration with updating of both parameters.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Table S4. Missing-data sensitivity analyses for the primary model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Analysis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AUROC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AUROC 95% CI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Brier score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Calibration intercept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Calibration slope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Imputations</w:t>
            </w:r>
          </w:p>
        </w:tc>
      </w:tr>
      <w:tr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MICE sensitivity: training set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0.758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0.688–0.821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0.191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-0.011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1.155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20</w:t>
            </w:r>
          </w:p>
        </w:tc>
      </w:tr>
      <w:tr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MICE sensitivity: internal test set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0.727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0.622–0.829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0.212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-0.081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0.764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20</w:t>
            </w:r>
          </w:p>
        </w:tc>
      </w:tr>
      <w:tr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MICE sensitivity: external validation cohort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0.654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0.574–0.726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0.249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0.541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0.481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20</w:t>
            </w:r>
          </w:p>
        </w:tc>
      </w:tr>
      <w:tr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Complete-case: training set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0.751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0.202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1.052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</w:tr>
      <w:tr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Complete-case: internal test set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0.701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0.214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0.882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</w:tr>
      <w:tr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Complete-case: external validation cohort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0.65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0.255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0.547</w:t>
            </w:r>
          </w:p>
        </w:tc>
        <w:tc>
          <w:tcPr>
            <w:tcW w:type="dxa" w:w="1392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</w:r>
          </w:p>
        </w:tc>
      </w:tr>
    </w:tbl>
    <w:p>
      <w:pPr>
        <w:spacing w:after="160" w:before="0"/>
      </w:pPr>
      <w:r>
        <w:rPr>
          <w:rFonts w:ascii="Times New Roman" w:hAnsi="Times New Roman" w:eastAsia="Times New Roman"/>
          <w:b w:val="0"/>
          <w:i w:val="0"/>
          <w:sz w:val="20"/>
        </w:rPr>
        <w:t>Note: MICE indicates multiple imputation by chained equations. Complete-case values are provided as supplementary sensitivity analyses to show whether the main findings were materially altered by the handling of missing data.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Figure S3. Quantified distribution shift between the development and external validation cohorts</w:t>
      </w:r>
    </w:p>
    <w:p>
      <w:pPr>
        <w:jc w:val="center"/>
      </w:pPr>
      <w:r>
        <w:rPr>
          <w:rFonts w:ascii="Times New Roman" w:hAnsi="Times New Roman" w:eastAsia="Times New Roman"/>
          <w:sz w:val="22"/>
        </w:rPr>
        <w:drawing>
          <wp:inline xmlns:a="http://schemas.openxmlformats.org/drawingml/2006/main" xmlns:pic="http://schemas.openxmlformats.org/drawingml/2006/picture">
            <wp:extent cx="5669280" cy="39021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3_distribution_shif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9021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before="60"/>
      </w:pPr>
      <w:r>
        <w:rPr>
          <w:rFonts w:ascii="Times New Roman" w:hAnsi="Times New Roman" w:eastAsia="Times New Roman"/>
          <w:b w:val="0"/>
          <w:i w:val="0"/>
          <w:sz w:val="21"/>
        </w:rPr>
        <w:t>Points indicate absolute standardized mean differences for prespecified clinical characteristics. Dashed vertical reference lines at 0.1, 0.2, and 0.5 indicate small, moderate, and large between-cohort shifts, respectively.</w:t>
      </w:r>
    </w:p>
    <w:p>
      <w:pPr>
        <w:spacing w:after="120" w:before="160"/>
      </w:pPr>
      <w:r>
        <w:rPr>
          <w:rFonts w:ascii="Times New Roman" w:hAnsi="Times New Roman" w:eastAsia="Times New Roman"/>
          <w:b/>
          <w:i w:val="0"/>
          <w:sz w:val="28"/>
        </w:rPr>
        <w:t>Supplementary Table S5. Absolute standardized mean differences for selected characteristics across cohorts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Variable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Development cohort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External validation cohort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Absolute SMD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Invasive mechanical ventilation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313/317 (98.7%)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121/190 (63.7%)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0.897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Glucocorticoid use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206/317 (65.0%)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167/198 (84.3%)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0.445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Lactate, mmol/L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1.3 (1.0–1.8)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1.8 (1.1–2.6)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0.43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CTD-ILD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36/317 (11.4%)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56/198 (28.3%)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0.425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Respiratory rate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22.0 (17.0–26.0)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24.0 (21.0–29.0)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0.422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PaO2/FiO2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107.5 (69.0–178.0)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138.0 (101.2–197.8)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0.374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Malignant cancer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40/317 (12.6%)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52/193 (26.9%)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0.36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30-day mortality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125/317 (39.4%)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111/198 (56.1%)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0.333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IPF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26/317 (8.2%)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6/198 (3.0%)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0.225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LDH, U/L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348.0 (246.0–503.0)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412.5 (292.5–582.5)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0.209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Albumin, g/dL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3.2 (2.7–3.5)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3.0 (2.7–3.3)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0.113</w:t>
            </w:r>
          </w:p>
        </w:tc>
      </w:tr>
      <w:tr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Age, years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71.0 (61.0–79.0)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71.7 (63.2–79.8)</w:t>
            </w:r>
          </w:p>
        </w:tc>
        <w:tc>
          <w:tcPr>
            <w:tcW w:type="dxa" w:w="243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0.066</w:t>
            </w:r>
          </w:p>
        </w:tc>
      </w:tr>
    </w:tbl>
    <w:p>
      <w:pPr>
        <w:spacing w:after="160" w:before="0"/>
      </w:pPr>
      <w:r>
        <w:rPr>
          <w:rFonts w:ascii="Times New Roman" w:hAnsi="Times New Roman" w:eastAsia="Times New Roman"/>
          <w:b w:val="0"/>
          <w:i w:val="0"/>
          <w:sz w:val="20"/>
        </w:rPr>
        <w:t>Note: Absolute standardized mean differences were used to quantify between-cohort distribution shift. Larger values indicate greater differences between the development and external validation cohorts.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