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Title"/>
        <w:jc w:val="center"/>
      </w:pPr>
      <w:r>
        <w:rPr>
          <w:rFonts w:ascii="Times New Roman" w:hAnsi="Times New Roman"/>
          <w:b/>
          <w:sz w:val="24"/>
        </w:rPr>
        <w:t>Supplementary File 2. Qualitative coding framework and codebook</w:t>
      </w:r>
    </w:p>
    <w:p>
      <w:r>
        <w:rPr>
          <w:rFonts w:ascii="Times New Roman" w:hAnsi="Times New Roman"/>
          <w:sz w:val="24"/>
        </w:rPr>
        <w:t>This file contains de-identified analytic materials only. Participant names are pseudonyms. Full interview recordings, full transcripts, and identifying information are not included because of participant confidentiality and safety restrictions.</w:t>
      </w:r>
    </w:p>
    <w:p/>
    <w:p w14:paraId="685D0DAE" w14:textId="15AF84FB" w:rsidR="00E841A6" w:rsidRDefault="00E841A6" w:rsidP="00E841A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841A6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S1. </w:t>
      </w:r>
      <w:r w:rsidRPr="00E841A6">
        <w:rPr>
          <w:rFonts w:ascii="Times New Roman" w:hAnsi="Times New Roman" w:cs="Times New Roman"/>
          <w:i/>
          <w:iCs/>
          <w:sz w:val="24"/>
          <w:szCs w:val="24"/>
        </w:rPr>
        <w:t>Qualitative Coding Framework</w:t>
      </w:r>
    </w:p>
    <w:tbl>
      <w:tblPr>
        <w:tblStyle w:val="TableGrid"/>
        <w:tblW w:w="16560" w:type="dxa"/>
        <w:tblInd w:w="-126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699"/>
        <w:gridCol w:w="1709"/>
        <w:gridCol w:w="2413"/>
        <w:gridCol w:w="2642"/>
        <w:gridCol w:w="1389"/>
        <w:gridCol w:w="3123"/>
        <w:gridCol w:w="1605"/>
      </w:tblGrid>
      <w:tr w:rsidR="00E841A6" w14:paraId="2AC40685" w14:textId="77777777" w:rsidTr="00613A1E">
        <w:trPr>
          <w:tblHeader w:val="true"/>
          <w:cantSplit/>
        </w:trPr>
        <w:tc>
          <w:tcPr>
            <w:tcW w:w="1980" w:type="dxa"/>
            <w:vAlign w:val="center"/>
          </w:tcPr>
          <w:p w14:paraId="42DCBD06" w14:textId="3210F241" w:rsidR="00E841A6" w:rsidRDefault="00E841A6" w:rsidP="00613A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Selective Theme</w:t>
            </w:r>
          </w:p>
        </w:tc>
        <w:tc>
          <w:tcPr>
            <w:tcW w:w="1699" w:type="dxa"/>
            <w:vAlign w:val="center"/>
          </w:tcPr>
          <w:p w14:paraId="294C5F5B" w14:textId="4F2A86EC" w:rsidR="00E841A6" w:rsidRDefault="00E841A6" w:rsidP="00613A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Axial Category</w:t>
            </w:r>
          </w:p>
        </w:tc>
        <w:tc>
          <w:tcPr>
            <w:tcW w:w="1709" w:type="dxa"/>
            <w:vAlign w:val="center"/>
          </w:tcPr>
          <w:p w14:paraId="71F2E72B" w14:textId="2D86E760" w:rsidR="00E841A6" w:rsidRDefault="00E841A6" w:rsidP="00613A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Open Code</w:t>
            </w:r>
          </w:p>
        </w:tc>
        <w:tc>
          <w:tcPr>
            <w:tcW w:w="2413" w:type="dxa"/>
            <w:vAlign w:val="center"/>
          </w:tcPr>
          <w:p w14:paraId="0E9B56E8" w14:textId="2B6706F9" w:rsidR="00E841A6" w:rsidRDefault="00E841A6" w:rsidP="00613A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Sub-code / Indicator</w:t>
            </w:r>
          </w:p>
        </w:tc>
        <w:tc>
          <w:tcPr>
            <w:tcW w:w="2642" w:type="dxa"/>
            <w:vAlign w:val="center"/>
          </w:tcPr>
          <w:p w14:paraId="7861C68A" w14:textId="2A8341AB" w:rsidR="00E841A6" w:rsidRDefault="00E841A6" w:rsidP="00613A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Empirical Anchor</w:t>
            </w:r>
          </w:p>
        </w:tc>
        <w:tc>
          <w:tcPr>
            <w:tcW w:w="1389" w:type="dxa"/>
            <w:vAlign w:val="center"/>
          </w:tcPr>
          <w:p w14:paraId="5A0A882E" w14:textId="087B1457" w:rsidR="00E841A6" w:rsidRDefault="00E841A6" w:rsidP="00613A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Participant Source</w:t>
            </w:r>
          </w:p>
        </w:tc>
        <w:tc>
          <w:tcPr>
            <w:tcW w:w="3123" w:type="dxa"/>
            <w:vAlign w:val="center"/>
          </w:tcPr>
          <w:p w14:paraId="611723DA" w14:textId="74C81190" w:rsidR="00E841A6" w:rsidRDefault="00E841A6" w:rsidP="00613A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Analytical Meaning</w:t>
            </w:r>
          </w:p>
        </w:tc>
        <w:tc>
          <w:tcPr>
            <w:tcW w:w="1605" w:type="dxa"/>
            <w:vAlign w:val="center"/>
          </w:tcPr>
          <w:p w14:paraId="4FC7458D" w14:textId="3A56B7DA" w:rsidR="00E841A6" w:rsidRDefault="00E841A6" w:rsidP="00613A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Barrier Level</w:t>
            </w:r>
          </w:p>
        </w:tc>
      </w:tr>
      <w:tr w:rsidR="00E841A6" w14:paraId="3A289D4F" w14:textId="77777777" w:rsidTr="00613A1E">
        <w:trPr>
          <w:cantSplit/>
        </w:trPr>
        <w:tc>
          <w:tcPr>
            <w:tcW w:w="1980" w:type="dxa"/>
            <w:vMerge w:val="restart"/>
            <w:vAlign w:val="center"/>
          </w:tcPr>
          <w:p w14:paraId="3D3ADD0E" w14:textId="79BD7133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Social exclusion before healthcare contact</w:t>
            </w:r>
          </w:p>
        </w:tc>
        <w:tc>
          <w:tcPr>
            <w:tcW w:w="1699" w:type="dxa"/>
            <w:vAlign w:val="center"/>
          </w:tcPr>
          <w:p w14:paraId="163F3988" w14:textId="14D7555D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Normative gender pressure</w:t>
            </w:r>
          </w:p>
        </w:tc>
        <w:tc>
          <w:tcPr>
            <w:tcW w:w="1709" w:type="dxa"/>
            <w:vAlign w:val="center"/>
          </w:tcPr>
          <w:p w14:paraId="128EC8E9" w14:textId="23F28CCE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Pressure to conform to male identity</w:t>
            </w:r>
          </w:p>
        </w:tc>
        <w:tc>
          <w:tcPr>
            <w:tcW w:w="2413" w:type="dxa"/>
            <w:vAlign w:val="center"/>
          </w:tcPr>
          <w:p w14:paraId="0ABE5675" w14:textId="2B108145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Being told to “be a man”; identity correction; refusal of gender expression</w:t>
            </w:r>
          </w:p>
        </w:tc>
        <w:tc>
          <w:tcPr>
            <w:tcW w:w="2642" w:type="dxa"/>
            <w:vAlign w:val="center"/>
          </w:tcPr>
          <w:p w14:paraId="430788BE" w14:textId="333C0404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“I cannot do what people say to be a man.”</w:t>
            </w:r>
          </w:p>
        </w:tc>
        <w:tc>
          <w:tcPr>
            <w:tcW w:w="1389" w:type="dxa"/>
            <w:vAlign w:val="center"/>
          </w:tcPr>
          <w:p w14:paraId="1315AA62" w14:textId="2072E007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MR</w:t>
            </w:r>
          </w:p>
        </w:tc>
        <w:tc>
          <w:tcPr>
            <w:tcW w:w="3123" w:type="dxa"/>
            <w:vAlign w:val="center"/>
          </w:tcPr>
          <w:p w14:paraId="41361E69" w14:textId="72092676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Healthcare access is shaped before clinical contact because participants already expect correction or judgment in public institutions.</w:t>
            </w:r>
          </w:p>
        </w:tc>
        <w:tc>
          <w:tcPr>
            <w:tcW w:w="1605" w:type="dxa"/>
            <w:vAlign w:val="center"/>
          </w:tcPr>
          <w:p w14:paraId="54396D72" w14:textId="6415665D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Social</w:t>
            </w:r>
          </w:p>
        </w:tc>
      </w:tr>
      <w:tr w:rsidR="00E841A6" w14:paraId="08EFF5F4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4327B2F2" w14:textId="1B97D05F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6508C02F" w14:textId="6D20B522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Fragile social acceptance</w:t>
            </w:r>
          </w:p>
        </w:tc>
        <w:tc>
          <w:tcPr>
            <w:tcW w:w="1709" w:type="dxa"/>
            <w:vAlign w:val="center"/>
          </w:tcPr>
          <w:p w14:paraId="1BC1B5D9" w14:textId="1AD1CF84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Conditional acceptance</w:t>
            </w:r>
          </w:p>
        </w:tc>
        <w:tc>
          <w:tcPr>
            <w:tcW w:w="2413" w:type="dxa"/>
            <w:vAlign w:val="center"/>
          </w:tcPr>
          <w:p w14:paraId="716A1973" w14:textId="7E12BFA9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Acceptance must be tested; safety depends on relational trust</w:t>
            </w:r>
          </w:p>
        </w:tc>
        <w:tc>
          <w:tcPr>
            <w:tcW w:w="2642" w:type="dxa"/>
            <w:vAlign w:val="center"/>
          </w:tcPr>
          <w:p w14:paraId="0E5F45E5" w14:textId="304FA5E4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“I only want a man who can accept me as I am.”</w:t>
            </w:r>
          </w:p>
        </w:tc>
        <w:tc>
          <w:tcPr>
            <w:tcW w:w="1389" w:type="dxa"/>
            <w:vAlign w:val="center"/>
          </w:tcPr>
          <w:p w14:paraId="78091211" w14:textId="7A9BDA17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AG</w:t>
            </w:r>
          </w:p>
        </w:tc>
        <w:tc>
          <w:tcPr>
            <w:tcW w:w="3123" w:type="dxa"/>
            <w:vAlign w:val="center"/>
          </w:tcPr>
          <w:p w14:paraId="0F071901" w14:textId="480AA262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Acceptance is not assumed. Participants evaluate whether a space, including healthcare, will recognize them as legitimate subjects.</w:t>
            </w:r>
          </w:p>
        </w:tc>
        <w:tc>
          <w:tcPr>
            <w:tcW w:w="1605" w:type="dxa"/>
            <w:vAlign w:val="center"/>
          </w:tcPr>
          <w:p w14:paraId="1E56F489" w14:textId="5B047785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Social / Relational</w:t>
            </w:r>
          </w:p>
        </w:tc>
      </w:tr>
      <w:tr w:rsidR="00E841A6" w14:paraId="76E7C27C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78BB3E5F" w14:textId="7B9AE830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4254AD36" w14:textId="61B6E84B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Everyday stigma</w:t>
            </w:r>
          </w:p>
        </w:tc>
        <w:tc>
          <w:tcPr>
            <w:tcW w:w="1709" w:type="dxa"/>
            <w:vAlign w:val="center"/>
          </w:tcPr>
          <w:p w14:paraId="4585BD45" w14:textId="40FA6B26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Verbal judgment and ridicule</w:t>
            </w:r>
          </w:p>
        </w:tc>
        <w:tc>
          <w:tcPr>
            <w:tcW w:w="2413" w:type="dxa"/>
            <w:vAlign w:val="center"/>
          </w:tcPr>
          <w:p w14:paraId="36BAD2F0" w14:textId="61ED6BD7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Mockery, humiliation, moral labeling, social rejection</w:t>
            </w:r>
          </w:p>
        </w:tc>
        <w:tc>
          <w:tcPr>
            <w:tcW w:w="2642" w:type="dxa"/>
            <w:vAlign w:val="center"/>
          </w:tcPr>
          <w:p w14:paraId="383B16FB" w14:textId="6C4F0B8B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Reported ridicule and moral condemnation in public/waiting-room contexts</w:t>
            </w:r>
          </w:p>
        </w:tc>
        <w:tc>
          <w:tcPr>
            <w:tcW w:w="1389" w:type="dxa"/>
            <w:vAlign w:val="center"/>
          </w:tcPr>
          <w:p w14:paraId="4DED7433" w14:textId="2F7AB7AD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AG, YF</w:t>
            </w:r>
          </w:p>
        </w:tc>
        <w:tc>
          <w:tcPr>
            <w:tcW w:w="3123" w:type="dxa"/>
            <w:vAlign w:val="center"/>
          </w:tcPr>
          <w:p w14:paraId="298F9A47" w14:textId="11E53C25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Stigma becomes a prior condition that frames expectations toward health services.</w:t>
            </w:r>
          </w:p>
        </w:tc>
        <w:tc>
          <w:tcPr>
            <w:tcW w:w="1605" w:type="dxa"/>
            <w:vAlign w:val="center"/>
          </w:tcPr>
          <w:p w14:paraId="051E4FCB" w14:textId="2241182E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Social</w:t>
            </w:r>
          </w:p>
        </w:tc>
      </w:tr>
      <w:tr w:rsidR="00E841A6" w14:paraId="54A305B2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341D018A" w14:textId="14A27450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57D0D396" w14:textId="3AF9D509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Social insecurity</w:t>
            </w:r>
          </w:p>
        </w:tc>
        <w:tc>
          <w:tcPr>
            <w:tcW w:w="1709" w:type="dxa"/>
            <w:vAlign w:val="center"/>
          </w:tcPr>
          <w:p w14:paraId="01521423" w14:textId="1D6E7E15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Fear of humiliation</w:t>
            </w:r>
          </w:p>
        </w:tc>
        <w:tc>
          <w:tcPr>
            <w:tcW w:w="2413" w:type="dxa"/>
            <w:vAlign w:val="center"/>
          </w:tcPr>
          <w:p w14:paraId="44DB32BE" w14:textId="32E7ADDE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Worry about being laughed at, corrected, or exposed</w:t>
            </w:r>
          </w:p>
        </w:tc>
        <w:tc>
          <w:tcPr>
            <w:tcW w:w="2642" w:type="dxa"/>
            <w:vAlign w:val="center"/>
          </w:tcPr>
          <w:p w14:paraId="28368D6D" w14:textId="7D05E700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Experiences of being judged and humiliated in daily social life</w:t>
            </w:r>
          </w:p>
        </w:tc>
        <w:tc>
          <w:tcPr>
            <w:tcW w:w="1389" w:type="dxa"/>
            <w:vAlign w:val="center"/>
          </w:tcPr>
          <w:p w14:paraId="4FDC4AD7" w14:textId="667BE488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Multiple participants</w:t>
            </w:r>
          </w:p>
        </w:tc>
        <w:tc>
          <w:tcPr>
            <w:tcW w:w="3123" w:type="dxa"/>
            <w:vAlign w:val="center"/>
          </w:tcPr>
          <w:p w14:paraId="512FF571" w14:textId="39FB2739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Social risk produces anticipatory caution before care-seeking begins.</w:t>
            </w:r>
          </w:p>
        </w:tc>
        <w:tc>
          <w:tcPr>
            <w:tcW w:w="1605" w:type="dxa"/>
            <w:vAlign w:val="center"/>
          </w:tcPr>
          <w:p w14:paraId="37E7DA00" w14:textId="731C8C2C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Social</w:t>
            </w:r>
          </w:p>
        </w:tc>
      </w:tr>
      <w:tr w:rsidR="00E841A6" w14:paraId="16DE057E" w14:textId="77777777" w:rsidTr="00613A1E">
        <w:trPr>
          <w:cantSplit/>
        </w:trPr>
        <w:tc>
          <w:tcPr>
            <w:tcW w:w="1980" w:type="dxa"/>
            <w:vMerge w:val="restart"/>
            <w:vAlign w:val="center"/>
          </w:tcPr>
          <w:p w14:paraId="0D1E5363" w14:textId="5EEB1DB7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Precarious livelihoods and constrained care seeking</w:t>
            </w:r>
          </w:p>
        </w:tc>
        <w:tc>
          <w:tcPr>
            <w:tcW w:w="1699" w:type="dxa"/>
            <w:vAlign w:val="center"/>
          </w:tcPr>
          <w:p w14:paraId="5F71A8A5" w14:textId="404F00CB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Economic survival</w:t>
            </w:r>
          </w:p>
        </w:tc>
        <w:tc>
          <w:tcPr>
            <w:tcW w:w="1709" w:type="dxa"/>
            <w:vAlign w:val="center"/>
          </w:tcPr>
          <w:p w14:paraId="265FBE2D" w14:textId="31DE3015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Rent and daily needs</w:t>
            </w:r>
          </w:p>
        </w:tc>
        <w:tc>
          <w:tcPr>
            <w:tcW w:w="2413" w:type="dxa"/>
            <w:vAlign w:val="center"/>
          </w:tcPr>
          <w:p w14:paraId="420F7DF8" w14:textId="33E76248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Rent, food, transport, basic living costs</w:t>
            </w:r>
          </w:p>
        </w:tc>
        <w:tc>
          <w:tcPr>
            <w:tcW w:w="2642" w:type="dxa"/>
            <w:vAlign w:val="center"/>
          </w:tcPr>
          <w:p w14:paraId="676060B8" w14:textId="4EB23707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“To pay rent, send money to my family…”</w:t>
            </w:r>
          </w:p>
        </w:tc>
        <w:tc>
          <w:tcPr>
            <w:tcW w:w="1389" w:type="dxa"/>
            <w:vAlign w:val="center"/>
          </w:tcPr>
          <w:p w14:paraId="776B5393" w14:textId="25F5DD56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YF</w:t>
            </w:r>
          </w:p>
        </w:tc>
        <w:tc>
          <w:tcPr>
            <w:tcW w:w="3123" w:type="dxa"/>
            <w:vAlign w:val="center"/>
          </w:tcPr>
          <w:p w14:paraId="6B721B59" w14:textId="64390541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Health competes with urgent survival expenses.</w:t>
            </w:r>
          </w:p>
        </w:tc>
        <w:tc>
          <w:tcPr>
            <w:tcW w:w="1605" w:type="dxa"/>
            <w:vAlign w:val="center"/>
          </w:tcPr>
          <w:p w14:paraId="1390035F" w14:textId="7A8B86B8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Economic</w:t>
            </w:r>
          </w:p>
        </w:tc>
      </w:tr>
      <w:tr w:rsidR="00E841A6" w14:paraId="2D6A4677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5E856C2B" w14:textId="7CEA2625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3F938CB5" w14:textId="33124FEE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Family obligation</w:t>
            </w:r>
          </w:p>
        </w:tc>
        <w:tc>
          <w:tcPr>
            <w:tcW w:w="1709" w:type="dxa"/>
            <w:vAlign w:val="center"/>
          </w:tcPr>
          <w:p w14:paraId="1A89C27D" w14:textId="60913786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Remittances to family</w:t>
            </w:r>
          </w:p>
        </w:tc>
        <w:tc>
          <w:tcPr>
            <w:tcW w:w="2413" w:type="dxa"/>
            <w:vAlign w:val="center"/>
          </w:tcPr>
          <w:p w14:paraId="31F6FADF" w14:textId="3E0BF642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Sending money to village/family; economic responsibility beyond self</w:t>
            </w:r>
          </w:p>
        </w:tc>
        <w:tc>
          <w:tcPr>
            <w:tcW w:w="2642" w:type="dxa"/>
            <w:vAlign w:val="center"/>
          </w:tcPr>
          <w:p w14:paraId="6B02FF19" w14:textId="6BF30F00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“Send money to my family in the village.”</w:t>
            </w:r>
          </w:p>
        </w:tc>
        <w:tc>
          <w:tcPr>
            <w:tcW w:w="1389" w:type="dxa"/>
            <w:vAlign w:val="center"/>
          </w:tcPr>
          <w:p w14:paraId="6D0143DC" w14:textId="669368B6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YF</w:t>
            </w:r>
          </w:p>
        </w:tc>
        <w:tc>
          <w:tcPr>
            <w:tcW w:w="3123" w:type="dxa"/>
            <w:vAlign w:val="center"/>
          </w:tcPr>
          <w:p w14:paraId="649550C5" w14:textId="4024F5BE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Care-seeking is constrained by obligations that reduce disposable resources.</w:t>
            </w:r>
          </w:p>
        </w:tc>
        <w:tc>
          <w:tcPr>
            <w:tcW w:w="1605" w:type="dxa"/>
            <w:vAlign w:val="center"/>
          </w:tcPr>
          <w:p w14:paraId="4F488D87" w14:textId="64F45BE1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Economic / Familial</w:t>
            </w:r>
          </w:p>
        </w:tc>
      </w:tr>
      <w:tr w:rsidR="00E841A6" w14:paraId="2F7D58E9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611E1593" w14:textId="20D6442B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5A2E9A24" w14:textId="75E5D0B1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Income instability</w:t>
            </w:r>
          </w:p>
        </w:tc>
        <w:tc>
          <w:tcPr>
            <w:tcW w:w="1709" w:type="dxa"/>
            <w:vAlign w:val="center"/>
          </w:tcPr>
          <w:p w14:paraId="48DC4CF1" w14:textId="0C840C9E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Irregular informal work</w:t>
            </w:r>
          </w:p>
        </w:tc>
        <w:tc>
          <w:tcPr>
            <w:tcW w:w="2413" w:type="dxa"/>
            <w:vAlign w:val="center"/>
          </w:tcPr>
          <w:p w14:paraId="468088AD" w14:textId="40E4B5AE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Beauty work, informal jobs, unstable earning sources</w:t>
            </w:r>
          </w:p>
        </w:tc>
        <w:tc>
          <w:tcPr>
            <w:tcW w:w="2642" w:type="dxa"/>
            <w:vAlign w:val="center"/>
          </w:tcPr>
          <w:p w14:paraId="4C08277E" w14:textId="211ABB77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“I focus more on my make-up work.”</w:t>
            </w:r>
          </w:p>
        </w:tc>
        <w:tc>
          <w:tcPr>
            <w:tcW w:w="1389" w:type="dxa"/>
            <w:vAlign w:val="center"/>
          </w:tcPr>
          <w:p w14:paraId="6FDFF406" w14:textId="1996833F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AY</w:t>
            </w:r>
          </w:p>
        </w:tc>
        <w:tc>
          <w:tcPr>
            <w:tcW w:w="3123" w:type="dxa"/>
            <w:vAlign w:val="center"/>
          </w:tcPr>
          <w:p w14:paraId="7DA16F8E" w14:textId="3E35D883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 xml:space="preserve">Informal livelihood </w:t>
            </w:r>
            <w:proofErr w:type="gramStart"/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limits</w:t>
            </w:r>
            <w:proofErr w:type="gramEnd"/>
            <w:r w:rsidRPr="00E841A6">
              <w:rPr>
                <w:rFonts w:ascii="Times New Roman" w:hAnsi="Times New Roman" w:cs="Times New Roman"/>
                <w:sz w:val="18"/>
                <w:szCs w:val="24"/>
              </w:rPr>
              <w:t xml:space="preserve"> ability to plan routine healthcare.</w:t>
            </w:r>
          </w:p>
        </w:tc>
        <w:tc>
          <w:tcPr>
            <w:tcW w:w="1605" w:type="dxa"/>
            <w:vAlign w:val="center"/>
          </w:tcPr>
          <w:p w14:paraId="354191A6" w14:textId="32BFDE26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Economic</w:t>
            </w:r>
          </w:p>
        </w:tc>
      </w:tr>
      <w:tr w:rsidR="00E841A6" w14:paraId="38E48771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76C8A0AF" w14:textId="4D6A11EF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09C942B4" w14:textId="54376B4B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Return to risky/previous work</w:t>
            </w:r>
          </w:p>
        </w:tc>
        <w:tc>
          <w:tcPr>
            <w:tcW w:w="1709" w:type="dxa"/>
            <w:vAlign w:val="center"/>
          </w:tcPr>
          <w:p w14:paraId="0910A0E0" w14:textId="6D1BF329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Economic compulsion</w:t>
            </w:r>
          </w:p>
        </w:tc>
        <w:tc>
          <w:tcPr>
            <w:tcW w:w="2413" w:type="dxa"/>
            <w:vAlign w:val="center"/>
          </w:tcPr>
          <w:p w14:paraId="5DF86EAA" w14:textId="644C60B5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Returning to prior work when financially pressured</w:t>
            </w:r>
          </w:p>
        </w:tc>
        <w:tc>
          <w:tcPr>
            <w:tcW w:w="2642" w:type="dxa"/>
            <w:vAlign w:val="center"/>
          </w:tcPr>
          <w:p w14:paraId="1EBA5FEE" w14:textId="6126E07C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“When I am in a tight spot, I go back to it again.”</w:t>
            </w:r>
          </w:p>
        </w:tc>
        <w:tc>
          <w:tcPr>
            <w:tcW w:w="1389" w:type="dxa"/>
            <w:vAlign w:val="center"/>
          </w:tcPr>
          <w:p w14:paraId="6EFEDDB6" w14:textId="2B7EE1FF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AY</w:t>
            </w:r>
          </w:p>
        </w:tc>
        <w:tc>
          <w:tcPr>
            <w:tcW w:w="3123" w:type="dxa"/>
            <w:vAlign w:val="center"/>
          </w:tcPr>
          <w:p w14:paraId="428C8E6C" w14:textId="3DB0AB29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Employment decisions are shaped by necessity rather than preference, reducing autonomy for healthcare.</w:t>
            </w:r>
          </w:p>
        </w:tc>
        <w:tc>
          <w:tcPr>
            <w:tcW w:w="1605" w:type="dxa"/>
            <w:vAlign w:val="center"/>
          </w:tcPr>
          <w:p w14:paraId="25409017" w14:textId="3DA30E39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Economic</w:t>
            </w:r>
          </w:p>
        </w:tc>
      </w:tr>
      <w:tr w:rsidR="00E841A6" w14:paraId="19FAB633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322CBFA9" w14:textId="68AAEB0C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79C1866A" w14:textId="582F121D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Limited autonomy</w:t>
            </w:r>
          </w:p>
        </w:tc>
        <w:tc>
          <w:tcPr>
            <w:tcW w:w="1709" w:type="dxa"/>
            <w:vAlign w:val="center"/>
          </w:tcPr>
          <w:p w14:paraId="104E906A" w14:textId="20D6D64D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“No choice” economic condition</w:t>
            </w:r>
          </w:p>
        </w:tc>
        <w:tc>
          <w:tcPr>
            <w:tcW w:w="2413" w:type="dxa"/>
            <w:vAlign w:val="center"/>
          </w:tcPr>
          <w:p w14:paraId="3106E862" w14:textId="6CE813CC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Lack of savings, capital, stable alternatives</w:t>
            </w:r>
          </w:p>
        </w:tc>
        <w:tc>
          <w:tcPr>
            <w:tcW w:w="2642" w:type="dxa"/>
            <w:vAlign w:val="center"/>
          </w:tcPr>
          <w:p w14:paraId="710DC214" w14:textId="1E4C726C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“Like it or not, for now I still have to do this.”</w:t>
            </w:r>
          </w:p>
        </w:tc>
        <w:tc>
          <w:tcPr>
            <w:tcW w:w="1389" w:type="dxa"/>
            <w:vAlign w:val="center"/>
          </w:tcPr>
          <w:p w14:paraId="37DB683C" w14:textId="75CE4FB4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YF</w:t>
            </w:r>
          </w:p>
        </w:tc>
        <w:tc>
          <w:tcPr>
            <w:tcW w:w="3123" w:type="dxa"/>
            <w:vAlign w:val="center"/>
          </w:tcPr>
          <w:p w14:paraId="773AA015" w14:textId="06D4AE9F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Healthcare delay is not ignorance but a rational response to constrained resources.</w:t>
            </w:r>
          </w:p>
        </w:tc>
        <w:tc>
          <w:tcPr>
            <w:tcW w:w="1605" w:type="dxa"/>
            <w:vAlign w:val="center"/>
          </w:tcPr>
          <w:p w14:paraId="1F1C411D" w14:textId="283BB18D" w:rsidR="00E841A6" w:rsidRDefault="00E841A6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Economic / Structural</w:t>
            </w:r>
          </w:p>
        </w:tc>
      </w:tr>
      <w:tr w:rsidR="00613A1E" w14:paraId="095A36E4" w14:textId="77777777" w:rsidTr="00613A1E">
        <w:trPr>
          <w:cantSplit/>
        </w:trPr>
        <w:tc>
          <w:tcPr>
            <w:tcW w:w="1980" w:type="dxa"/>
            <w:vMerge w:val="restart"/>
            <w:vAlign w:val="center"/>
          </w:tcPr>
          <w:p w14:paraId="422C9300" w14:textId="2361D1B9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Anticipated discrimination in services</w:t>
            </w:r>
          </w:p>
        </w:tc>
        <w:tc>
          <w:tcPr>
            <w:tcW w:w="1699" w:type="dxa"/>
            <w:vAlign w:val="center"/>
          </w:tcPr>
          <w:p w14:paraId="431043FC" w14:textId="360CA3D3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Expected moral judgment</w:t>
            </w:r>
          </w:p>
        </w:tc>
        <w:tc>
          <w:tcPr>
            <w:tcW w:w="1709" w:type="dxa"/>
            <w:vAlign w:val="center"/>
          </w:tcPr>
          <w:p w14:paraId="620D0458" w14:textId="1DF5B62A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Fear of being judged by providers or other patients</w:t>
            </w:r>
          </w:p>
        </w:tc>
        <w:tc>
          <w:tcPr>
            <w:tcW w:w="2413" w:type="dxa"/>
            <w:vAlign w:val="center"/>
          </w:tcPr>
          <w:p w14:paraId="286C9018" w14:textId="765A1AEF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Religious/moral condemnation; shame-based treatment</w:t>
            </w:r>
          </w:p>
        </w:tc>
        <w:tc>
          <w:tcPr>
            <w:tcW w:w="2642" w:type="dxa"/>
            <w:vAlign w:val="center"/>
          </w:tcPr>
          <w:p w14:paraId="67E0A050" w14:textId="79C82D12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Waiting-room mockery described by YF</w:t>
            </w:r>
          </w:p>
        </w:tc>
        <w:tc>
          <w:tcPr>
            <w:tcW w:w="1389" w:type="dxa"/>
            <w:vAlign w:val="center"/>
          </w:tcPr>
          <w:p w14:paraId="2F7314B9" w14:textId="0F75FB43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YF</w:t>
            </w:r>
          </w:p>
        </w:tc>
        <w:tc>
          <w:tcPr>
            <w:tcW w:w="3123" w:type="dxa"/>
            <w:vAlign w:val="center"/>
          </w:tcPr>
          <w:p w14:paraId="6CEEDA1E" w14:textId="3C34E639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Healthcare spaces are imagined as morally risky, not automatically safe.</w:t>
            </w:r>
          </w:p>
        </w:tc>
        <w:tc>
          <w:tcPr>
            <w:tcW w:w="1605" w:type="dxa"/>
            <w:vAlign w:val="center"/>
          </w:tcPr>
          <w:p w14:paraId="223293BB" w14:textId="5470EAFA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Institutional / Social</w:t>
            </w:r>
          </w:p>
        </w:tc>
      </w:tr>
      <w:tr w:rsidR="00613A1E" w14:paraId="62D5F5F0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64F88704" w14:textId="49DAFB61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2D609B84" w14:textId="364091D7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Anticipated disrespect</w:t>
            </w:r>
          </w:p>
        </w:tc>
        <w:tc>
          <w:tcPr>
            <w:tcW w:w="1709" w:type="dxa"/>
            <w:vAlign w:val="center"/>
          </w:tcPr>
          <w:p w14:paraId="6E3AE27A" w14:textId="6627B3DA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Fear of humiliation during service entry</w:t>
            </w:r>
          </w:p>
        </w:tc>
        <w:tc>
          <w:tcPr>
            <w:tcW w:w="2413" w:type="dxa"/>
            <w:vAlign w:val="center"/>
          </w:tcPr>
          <w:p w14:paraId="640F661E" w14:textId="1C2BAEBB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Disrespectful tone, irrelevant questions, identity-focused comments</w:t>
            </w:r>
          </w:p>
        </w:tc>
        <w:tc>
          <w:tcPr>
            <w:tcW w:w="2642" w:type="dxa"/>
            <w:vAlign w:val="center"/>
          </w:tcPr>
          <w:p w14:paraId="3DCD7A38" w14:textId="52DAEB10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Participants’ concern about being treated as problematic</w:t>
            </w:r>
          </w:p>
        </w:tc>
        <w:tc>
          <w:tcPr>
            <w:tcW w:w="1389" w:type="dxa"/>
            <w:vAlign w:val="center"/>
          </w:tcPr>
          <w:p w14:paraId="0ED690B6" w14:textId="3378A852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MR, AG</w:t>
            </w:r>
          </w:p>
        </w:tc>
        <w:tc>
          <w:tcPr>
            <w:tcW w:w="3123" w:type="dxa"/>
            <w:vAlign w:val="center"/>
          </w:tcPr>
          <w:p w14:paraId="587A4BD7" w14:textId="36DE0DA8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The first point of contact becomes a critical access threshold.</w:t>
            </w:r>
          </w:p>
        </w:tc>
        <w:tc>
          <w:tcPr>
            <w:tcW w:w="1605" w:type="dxa"/>
            <w:vAlign w:val="center"/>
          </w:tcPr>
          <w:p w14:paraId="66BC5A02" w14:textId="7FBEC4E3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Institutional</w:t>
            </w:r>
          </w:p>
        </w:tc>
      </w:tr>
      <w:tr w:rsidR="00613A1E" w14:paraId="5C43E63E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4548D1A7" w14:textId="1D9439C4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159FC8DD" w14:textId="550F8CB6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Privacy concerns</w:t>
            </w:r>
          </w:p>
        </w:tc>
        <w:tc>
          <w:tcPr>
            <w:tcW w:w="1709" w:type="dxa"/>
            <w:vAlign w:val="center"/>
          </w:tcPr>
          <w:p w14:paraId="2DE98DEB" w14:textId="50961069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Fear of exposure</w:t>
            </w:r>
          </w:p>
        </w:tc>
        <w:tc>
          <w:tcPr>
            <w:tcW w:w="2413" w:type="dxa"/>
            <w:vAlign w:val="center"/>
          </w:tcPr>
          <w:p w14:paraId="73F63CB8" w14:textId="2800745F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Identity, occupation, health condition, and social relations disclosed carelessly</w:t>
            </w:r>
          </w:p>
        </w:tc>
        <w:tc>
          <w:tcPr>
            <w:tcW w:w="2642" w:type="dxa"/>
            <w:vAlign w:val="center"/>
          </w:tcPr>
          <w:p w14:paraId="48846291" w14:textId="347D2D64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Manuscript emphasizes confidentiality as a primary requirement</w:t>
            </w:r>
          </w:p>
        </w:tc>
        <w:tc>
          <w:tcPr>
            <w:tcW w:w="1389" w:type="dxa"/>
            <w:vAlign w:val="center"/>
          </w:tcPr>
          <w:p w14:paraId="19C63B1B" w14:textId="414316BE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Cross-case</w:t>
            </w:r>
          </w:p>
        </w:tc>
        <w:tc>
          <w:tcPr>
            <w:tcW w:w="3123" w:type="dxa"/>
            <w:vAlign w:val="center"/>
          </w:tcPr>
          <w:p w14:paraId="64D639E5" w14:textId="45CC4074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Lack of confidentiality can transform service contact into social risk.</w:t>
            </w:r>
          </w:p>
        </w:tc>
        <w:tc>
          <w:tcPr>
            <w:tcW w:w="1605" w:type="dxa"/>
            <w:vAlign w:val="center"/>
          </w:tcPr>
          <w:p w14:paraId="09780426" w14:textId="47D17C47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Institutional</w:t>
            </w:r>
          </w:p>
        </w:tc>
      </w:tr>
      <w:tr w:rsidR="00613A1E" w14:paraId="70702EDB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33E4BA75" w14:textId="7F1D7348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68D1DD7D" w14:textId="0235DB84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Service mistrust</w:t>
            </w:r>
          </w:p>
        </w:tc>
        <w:tc>
          <w:tcPr>
            <w:tcW w:w="1709" w:type="dxa"/>
            <w:vAlign w:val="center"/>
          </w:tcPr>
          <w:p w14:paraId="562AED15" w14:textId="67330050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Uncertainty about provider response</w:t>
            </w:r>
          </w:p>
        </w:tc>
        <w:tc>
          <w:tcPr>
            <w:tcW w:w="2413" w:type="dxa"/>
            <w:vAlign w:val="center"/>
          </w:tcPr>
          <w:p w14:paraId="47D63551" w14:textId="2A9FE119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Unsure whether service will be respectful, safe, or confidential</w:t>
            </w:r>
          </w:p>
        </w:tc>
        <w:tc>
          <w:tcPr>
            <w:tcW w:w="2642" w:type="dxa"/>
            <w:vAlign w:val="center"/>
          </w:tcPr>
          <w:p w14:paraId="7FC83379" w14:textId="528B3301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Participants approach services with vigilance</w:t>
            </w:r>
          </w:p>
        </w:tc>
        <w:tc>
          <w:tcPr>
            <w:tcW w:w="1389" w:type="dxa"/>
            <w:vAlign w:val="center"/>
          </w:tcPr>
          <w:p w14:paraId="3E6B9B00" w14:textId="41308CAC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Cross-case</w:t>
            </w:r>
          </w:p>
        </w:tc>
        <w:tc>
          <w:tcPr>
            <w:tcW w:w="3123" w:type="dxa"/>
            <w:vAlign w:val="center"/>
          </w:tcPr>
          <w:p w14:paraId="41261429" w14:textId="7E917E1E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Service availability does not equal accessibility.</w:t>
            </w:r>
          </w:p>
        </w:tc>
        <w:tc>
          <w:tcPr>
            <w:tcW w:w="1605" w:type="dxa"/>
            <w:vAlign w:val="center"/>
          </w:tcPr>
          <w:p w14:paraId="6CE03578" w14:textId="2EA04AB9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Institutional</w:t>
            </w:r>
          </w:p>
        </w:tc>
      </w:tr>
      <w:tr w:rsidR="00613A1E" w14:paraId="13B0D1E2" w14:textId="77777777" w:rsidTr="00613A1E">
        <w:trPr>
          <w:cantSplit/>
        </w:trPr>
        <w:tc>
          <w:tcPr>
            <w:tcW w:w="1980" w:type="dxa"/>
            <w:vMerge w:val="restart"/>
            <w:vAlign w:val="center"/>
          </w:tcPr>
          <w:p w14:paraId="1AC287EA" w14:textId="1D976EC9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Identity management as survival strategy</w:t>
            </w:r>
          </w:p>
        </w:tc>
        <w:tc>
          <w:tcPr>
            <w:tcW w:w="1699" w:type="dxa"/>
            <w:vAlign w:val="center"/>
          </w:tcPr>
          <w:p w14:paraId="33E4D554" w14:textId="23BBC5D5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Assertive identity management</w:t>
            </w:r>
          </w:p>
        </w:tc>
        <w:tc>
          <w:tcPr>
            <w:tcW w:w="1709" w:type="dxa"/>
            <w:vAlign w:val="center"/>
          </w:tcPr>
          <w:p w14:paraId="6CD8CFA1" w14:textId="75A13818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Maintaining self-recognition</w:t>
            </w:r>
          </w:p>
        </w:tc>
        <w:tc>
          <w:tcPr>
            <w:tcW w:w="2413" w:type="dxa"/>
            <w:vAlign w:val="center"/>
          </w:tcPr>
          <w:p w14:paraId="54A244B4" w14:textId="44F1E801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Refusing to deny identity; insisting on acceptance</w:t>
            </w:r>
          </w:p>
        </w:tc>
        <w:tc>
          <w:tcPr>
            <w:tcW w:w="2642" w:type="dxa"/>
            <w:vAlign w:val="center"/>
          </w:tcPr>
          <w:p w14:paraId="703298E9" w14:textId="0F5E4ECD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MR rejects pressure to become a man</w:t>
            </w:r>
          </w:p>
        </w:tc>
        <w:tc>
          <w:tcPr>
            <w:tcW w:w="1389" w:type="dxa"/>
            <w:vAlign w:val="center"/>
          </w:tcPr>
          <w:p w14:paraId="60211595" w14:textId="3001B92F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MR</w:t>
            </w:r>
          </w:p>
        </w:tc>
        <w:tc>
          <w:tcPr>
            <w:tcW w:w="3123" w:type="dxa"/>
            <w:vAlign w:val="center"/>
          </w:tcPr>
          <w:p w14:paraId="7045E78B" w14:textId="4D2A0814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Identity management is not always concealment; it can include self-assertion.</w:t>
            </w:r>
          </w:p>
        </w:tc>
        <w:tc>
          <w:tcPr>
            <w:tcW w:w="1605" w:type="dxa"/>
            <w:vAlign w:val="center"/>
          </w:tcPr>
          <w:p w14:paraId="44D0A759" w14:textId="6084D675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Interactional</w:t>
            </w:r>
          </w:p>
        </w:tc>
      </w:tr>
      <w:tr w:rsidR="00613A1E" w14:paraId="4562A8D4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017088B2" w14:textId="3F09A242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5538D3FA" w14:textId="7F29FCE9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Relational safety-seeking</w:t>
            </w:r>
          </w:p>
        </w:tc>
        <w:tc>
          <w:tcPr>
            <w:tcW w:w="1709" w:type="dxa"/>
            <w:vAlign w:val="center"/>
          </w:tcPr>
          <w:p w14:paraId="00290A52" w14:textId="08D862EB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Seeking acceptance through trusted people</w:t>
            </w:r>
          </w:p>
        </w:tc>
        <w:tc>
          <w:tcPr>
            <w:tcW w:w="2413" w:type="dxa"/>
            <w:vAlign w:val="center"/>
          </w:tcPr>
          <w:p w14:paraId="417DAB54" w14:textId="705796FA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Preference for people who accept identity without correction</w:t>
            </w:r>
          </w:p>
        </w:tc>
        <w:tc>
          <w:tcPr>
            <w:tcW w:w="2642" w:type="dxa"/>
            <w:vAlign w:val="center"/>
          </w:tcPr>
          <w:p w14:paraId="0D22908F" w14:textId="6B47EB34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AG’s emphasis on being accepted “as I am”</w:t>
            </w:r>
          </w:p>
        </w:tc>
        <w:tc>
          <w:tcPr>
            <w:tcW w:w="1389" w:type="dxa"/>
            <w:vAlign w:val="center"/>
          </w:tcPr>
          <w:p w14:paraId="0210740D" w14:textId="411729CB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AG</w:t>
            </w:r>
          </w:p>
        </w:tc>
        <w:tc>
          <w:tcPr>
            <w:tcW w:w="3123" w:type="dxa"/>
            <w:vAlign w:val="center"/>
          </w:tcPr>
          <w:p w14:paraId="4C40CFBE" w14:textId="30AB2CFC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Trust mediates whether participants approach public or service spaces.</w:t>
            </w:r>
          </w:p>
        </w:tc>
        <w:tc>
          <w:tcPr>
            <w:tcW w:w="1605" w:type="dxa"/>
            <w:vAlign w:val="center"/>
          </w:tcPr>
          <w:p w14:paraId="6D6E8EA1" w14:textId="31E98A07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Interactional</w:t>
            </w:r>
          </w:p>
        </w:tc>
      </w:tr>
      <w:tr w:rsidR="00613A1E" w14:paraId="18477268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74F3AE0B" w14:textId="73A9A30F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4368E4D1" w14:textId="0DF64706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Tactical disclosure</w:t>
            </w:r>
          </w:p>
        </w:tc>
        <w:tc>
          <w:tcPr>
            <w:tcW w:w="1709" w:type="dxa"/>
            <w:vAlign w:val="center"/>
          </w:tcPr>
          <w:p w14:paraId="2A1EF37A" w14:textId="3C0F58F8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Selective openness or silence</w:t>
            </w:r>
          </w:p>
        </w:tc>
        <w:tc>
          <w:tcPr>
            <w:tcW w:w="2413" w:type="dxa"/>
            <w:vAlign w:val="center"/>
          </w:tcPr>
          <w:p w14:paraId="006F6917" w14:textId="33D4E6E1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Choosing when to speak, remain silent, or rely on trusted intermediaries</w:t>
            </w:r>
          </w:p>
        </w:tc>
        <w:tc>
          <w:tcPr>
            <w:tcW w:w="2642" w:type="dxa"/>
            <w:vAlign w:val="center"/>
          </w:tcPr>
          <w:p w14:paraId="4D1F3BB2" w14:textId="09AA15D7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Discussed in Results 5.4</w:t>
            </w:r>
          </w:p>
        </w:tc>
        <w:tc>
          <w:tcPr>
            <w:tcW w:w="1389" w:type="dxa"/>
            <w:vAlign w:val="center"/>
          </w:tcPr>
          <w:p w14:paraId="4241F92D" w14:textId="5D149340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Cross-case</w:t>
            </w:r>
          </w:p>
        </w:tc>
        <w:tc>
          <w:tcPr>
            <w:tcW w:w="3123" w:type="dxa"/>
            <w:vAlign w:val="center"/>
          </w:tcPr>
          <w:p w14:paraId="78010CA9" w14:textId="7961D64A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Participants manage visibility to reduce stigma exposure.</w:t>
            </w:r>
          </w:p>
        </w:tc>
        <w:tc>
          <w:tcPr>
            <w:tcW w:w="1605" w:type="dxa"/>
            <w:vAlign w:val="center"/>
          </w:tcPr>
          <w:p w14:paraId="5B4F9D03" w14:textId="3966BF22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Interactional</w:t>
            </w:r>
          </w:p>
        </w:tc>
      </w:tr>
      <w:tr w:rsidR="00613A1E" w14:paraId="65CF81CD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07FCABFE" w14:textId="0DCF6DCB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035EE932" w14:textId="05BBA6EE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Livelihood visibility management</w:t>
            </w:r>
          </w:p>
        </w:tc>
        <w:tc>
          <w:tcPr>
            <w:tcW w:w="1709" w:type="dxa"/>
            <w:vAlign w:val="center"/>
          </w:tcPr>
          <w:p w14:paraId="6B24E64C" w14:textId="0AFF9D67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Managing work identity and social exposure</w:t>
            </w:r>
          </w:p>
        </w:tc>
        <w:tc>
          <w:tcPr>
            <w:tcW w:w="2413" w:type="dxa"/>
            <w:vAlign w:val="center"/>
          </w:tcPr>
          <w:p w14:paraId="01A3E83A" w14:textId="0B4640F4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Moving between make-up work and previous income sources</w:t>
            </w:r>
          </w:p>
        </w:tc>
        <w:tc>
          <w:tcPr>
            <w:tcW w:w="2642" w:type="dxa"/>
            <w:vAlign w:val="center"/>
          </w:tcPr>
          <w:p w14:paraId="08109ADE" w14:textId="21367D86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AY</w:t>
            </w:r>
          </w:p>
        </w:tc>
        <w:tc>
          <w:tcPr>
            <w:tcW w:w="1389" w:type="dxa"/>
            <w:vAlign w:val="center"/>
          </w:tcPr>
          <w:p w14:paraId="0011E70F" w14:textId="427A4FF3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Economic survival and identity presentation are jointly managed.</w:t>
            </w:r>
          </w:p>
        </w:tc>
        <w:tc>
          <w:tcPr>
            <w:tcW w:w="3123" w:type="dxa"/>
            <w:vAlign w:val="center"/>
          </w:tcPr>
          <w:p w14:paraId="49D9D01A" w14:textId="695A080C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Interactional / Economic</w:t>
            </w:r>
          </w:p>
        </w:tc>
        <w:tc>
          <w:tcPr>
            <w:tcW w:w="1605" w:type="dxa"/>
            <w:vAlign w:val="center"/>
          </w:tcPr>
          <w:p w14:paraId="441146A2" w14:textId="77777777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13A1E" w14:paraId="18DDB755" w14:textId="77777777" w:rsidTr="00613A1E">
        <w:trPr>
          <w:cantSplit/>
        </w:trPr>
        <w:tc>
          <w:tcPr>
            <w:tcW w:w="1980" w:type="dxa"/>
            <w:vMerge w:val="restart"/>
            <w:vAlign w:val="center"/>
          </w:tcPr>
          <w:p w14:paraId="64B38437" w14:textId="54B62E96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Implicit expectations from health services</w:t>
            </w:r>
          </w:p>
        </w:tc>
        <w:tc>
          <w:tcPr>
            <w:tcW w:w="1699" w:type="dxa"/>
            <w:vAlign w:val="center"/>
          </w:tcPr>
          <w:p w14:paraId="55E41DA7" w14:textId="487434B8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Respectful entry</w:t>
            </w:r>
          </w:p>
        </w:tc>
        <w:tc>
          <w:tcPr>
            <w:tcW w:w="1709" w:type="dxa"/>
            <w:vAlign w:val="center"/>
          </w:tcPr>
          <w:p w14:paraId="2B526A2F" w14:textId="2D174D03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Non-corrective communication</w:t>
            </w:r>
          </w:p>
        </w:tc>
        <w:tc>
          <w:tcPr>
            <w:tcW w:w="2413" w:type="dxa"/>
            <w:vAlign w:val="center"/>
          </w:tcPr>
          <w:p w14:paraId="13C050BD" w14:textId="71F24195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No forced identity correction; no humiliating intake</w:t>
            </w:r>
          </w:p>
        </w:tc>
        <w:tc>
          <w:tcPr>
            <w:tcW w:w="2642" w:type="dxa"/>
            <w:vAlign w:val="center"/>
          </w:tcPr>
          <w:p w14:paraId="53E616F6" w14:textId="75CAD4A1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MR’s concern about pressure to be “a man”</w:t>
            </w:r>
          </w:p>
        </w:tc>
        <w:tc>
          <w:tcPr>
            <w:tcW w:w="1389" w:type="dxa"/>
            <w:vAlign w:val="center"/>
          </w:tcPr>
          <w:p w14:paraId="3D0BACF7" w14:textId="014C2D16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MR</w:t>
            </w:r>
          </w:p>
        </w:tc>
        <w:tc>
          <w:tcPr>
            <w:tcW w:w="3123" w:type="dxa"/>
            <w:vAlign w:val="center"/>
          </w:tcPr>
          <w:p w14:paraId="03F75228" w14:textId="626A5D90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Safe access begins at reception/intake, not only during treatment.</w:t>
            </w:r>
          </w:p>
        </w:tc>
        <w:tc>
          <w:tcPr>
            <w:tcW w:w="1605" w:type="dxa"/>
            <w:vAlign w:val="center"/>
          </w:tcPr>
          <w:p w14:paraId="42177484" w14:textId="25943C79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Service</w:t>
            </w:r>
          </w:p>
        </w:tc>
      </w:tr>
      <w:tr w:rsidR="00613A1E" w14:paraId="4A828BF3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0CCF0762" w14:textId="17156E48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7D5AE35C" w14:textId="4443CFF2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Affirming recognition</w:t>
            </w:r>
          </w:p>
        </w:tc>
        <w:tc>
          <w:tcPr>
            <w:tcW w:w="1709" w:type="dxa"/>
            <w:vAlign w:val="center"/>
          </w:tcPr>
          <w:p w14:paraId="22D1396F" w14:textId="788D4F07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Being accepted without commentary</w:t>
            </w:r>
          </w:p>
        </w:tc>
        <w:tc>
          <w:tcPr>
            <w:tcW w:w="2413" w:type="dxa"/>
            <w:vAlign w:val="center"/>
          </w:tcPr>
          <w:p w14:paraId="4F951849" w14:textId="601DB0C2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Identity not treated as a problem</w:t>
            </w:r>
          </w:p>
        </w:tc>
        <w:tc>
          <w:tcPr>
            <w:tcW w:w="2642" w:type="dxa"/>
            <w:vAlign w:val="center"/>
          </w:tcPr>
          <w:p w14:paraId="25D194DE" w14:textId="6E12EDFF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AG’s statement about acceptance</w:t>
            </w:r>
          </w:p>
        </w:tc>
        <w:tc>
          <w:tcPr>
            <w:tcW w:w="1389" w:type="dxa"/>
            <w:vAlign w:val="center"/>
          </w:tcPr>
          <w:p w14:paraId="7448D526" w14:textId="67414293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AG</w:t>
            </w:r>
          </w:p>
        </w:tc>
        <w:tc>
          <w:tcPr>
            <w:tcW w:w="3123" w:type="dxa"/>
            <w:vAlign w:val="center"/>
          </w:tcPr>
          <w:p w14:paraId="2925FE1B" w14:textId="4DA3F3D1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Recognition is a functional condition of access.</w:t>
            </w:r>
          </w:p>
        </w:tc>
        <w:tc>
          <w:tcPr>
            <w:tcW w:w="1605" w:type="dxa"/>
            <w:vAlign w:val="center"/>
          </w:tcPr>
          <w:p w14:paraId="3192097B" w14:textId="25CD80C7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Service / Relational</w:t>
            </w:r>
          </w:p>
        </w:tc>
      </w:tr>
      <w:tr w:rsidR="00613A1E" w14:paraId="30F3A1F4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0D3FC212" w14:textId="02B9EF48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6204E961" w14:textId="3389B652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Confidentiality</w:t>
            </w:r>
          </w:p>
        </w:tc>
        <w:tc>
          <w:tcPr>
            <w:tcW w:w="1709" w:type="dxa"/>
            <w:vAlign w:val="center"/>
          </w:tcPr>
          <w:p w14:paraId="717A1AF5" w14:textId="45242F58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Controlled information flow</w:t>
            </w:r>
          </w:p>
        </w:tc>
        <w:tc>
          <w:tcPr>
            <w:tcW w:w="2413" w:type="dxa"/>
            <w:vAlign w:val="center"/>
          </w:tcPr>
          <w:p w14:paraId="74691858" w14:textId="18392EB8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Identity, occupation, and health information protected</w:t>
            </w:r>
          </w:p>
        </w:tc>
        <w:tc>
          <w:tcPr>
            <w:tcW w:w="2642" w:type="dxa"/>
            <w:vAlign w:val="center"/>
          </w:tcPr>
          <w:p w14:paraId="7ED7E52C" w14:textId="64C203F6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Manuscript states confidentiality as a primary requirement</w:t>
            </w:r>
          </w:p>
        </w:tc>
        <w:tc>
          <w:tcPr>
            <w:tcW w:w="1389" w:type="dxa"/>
            <w:vAlign w:val="center"/>
          </w:tcPr>
          <w:p w14:paraId="3B7FB6E8" w14:textId="021EDA46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Cross-case</w:t>
            </w:r>
          </w:p>
        </w:tc>
        <w:tc>
          <w:tcPr>
            <w:tcW w:w="3123" w:type="dxa"/>
            <w:vAlign w:val="center"/>
          </w:tcPr>
          <w:p w14:paraId="2D98A7BE" w14:textId="74A8641A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Privacy protection reduces social and institutional risk.</w:t>
            </w:r>
          </w:p>
        </w:tc>
        <w:tc>
          <w:tcPr>
            <w:tcW w:w="1605" w:type="dxa"/>
            <w:vAlign w:val="center"/>
          </w:tcPr>
          <w:p w14:paraId="5467E61C" w14:textId="7B152DE2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Service</w:t>
            </w:r>
          </w:p>
        </w:tc>
      </w:tr>
      <w:tr w:rsidR="00613A1E" w14:paraId="4B2C646D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0D98E90E" w14:textId="4374F16F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3E3188A4" w14:textId="482EC59E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Safe referral pathway</w:t>
            </w:r>
          </w:p>
        </w:tc>
        <w:tc>
          <w:tcPr>
            <w:tcW w:w="1709" w:type="dxa"/>
            <w:vAlign w:val="center"/>
          </w:tcPr>
          <w:p w14:paraId="0D53CB28" w14:textId="45602247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Non-humiliating referral</w:t>
            </w:r>
          </w:p>
        </w:tc>
        <w:tc>
          <w:tcPr>
            <w:tcW w:w="2413" w:type="dxa"/>
            <w:vAlign w:val="center"/>
          </w:tcPr>
          <w:p w14:paraId="62A56D42" w14:textId="140FDC81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Referral without gossip, exposure, or moral judgment</w:t>
            </w:r>
          </w:p>
        </w:tc>
        <w:tc>
          <w:tcPr>
            <w:tcW w:w="2642" w:type="dxa"/>
            <w:vAlign w:val="center"/>
          </w:tcPr>
          <w:p w14:paraId="7F5D71DC" w14:textId="3F8B0B1E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Inferred from service-entry concerns</w:t>
            </w:r>
          </w:p>
        </w:tc>
        <w:tc>
          <w:tcPr>
            <w:tcW w:w="1389" w:type="dxa"/>
            <w:vAlign w:val="center"/>
          </w:tcPr>
          <w:p w14:paraId="3EE612E9" w14:textId="543657F6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Cross-case</w:t>
            </w:r>
          </w:p>
        </w:tc>
        <w:tc>
          <w:tcPr>
            <w:tcW w:w="3123" w:type="dxa"/>
            <w:vAlign w:val="center"/>
          </w:tcPr>
          <w:p w14:paraId="1B705694" w14:textId="43D95EF2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Referral systems must prevent secondary stigma.</w:t>
            </w:r>
          </w:p>
        </w:tc>
        <w:tc>
          <w:tcPr>
            <w:tcW w:w="1605" w:type="dxa"/>
            <w:vAlign w:val="center"/>
          </w:tcPr>
          <w:p w14:paraId="3FB62EC0" w14:textId="051C36F2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Service</w:t>
            </w:r>
          </w:p>
        </w:tc>
      </w:tr>
      <w:tr w:rsidR="00613A1E" w14:paraId="58A40BCA" w14:textId="77777777" w:rsidTr="00613A1E">
        <w:trPr>
          <w:cantSplit/>
        </w:trPr>
        <w:tc>
          <w:tcPr>
            <w:tcW w:w="1980" w:type="dxa"/>
            <w:vMerge w:val="restart"/>
            <w:vAlign w:val="center"/>
          </w:tcPr>
          <w:p w14:paraId="011579ED" w14:textId="0F174968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Constrained healthcare access outcome</w:t>
            </w:r>
          </w:p>
        </w:tc>
        <w:tc>
          <w:tcPr>
            <w:tcW w:w="1699" w:type="dxa"/>
            <w:vAlign w:val="center"/>
          </w:tcPr>
          <w:p w14:paraId="2FF321C9" w14:textId="6001811B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Delayed care</w:t>
            </w:r>
          </w:p>
        </w:tc>
        <w:tc>
          <w:tcPr>
            <w:tcW w:w="1709" w:type="dxa"/>
            <w:vAlign w:val="center"/>
          </w:tcPr>
          <w:p w14:paraId="1D63E7B3" w14:textId="34C2C3B3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Postponement of treatment</w:t>
            </w:r>
          </w:p>
        </w:tc>
        <w:tc>
          <w:tcPr>
            <w:tcW w:w="2413" w:type="dxa"/>
            <w:vAlign w:val="center"/>
          </w:tcPr>
          <w:p w14:paraId="1CBC8E8A" w14:textId="2EDA6A2B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Care delayed due to cost, fear, or anticipated humiliation</w:t>
            </w:r>
          </w:p>
        </w:tc>
        <w:tc>
          <w:tcPr>
            <w:tcW w:w="2642" w:type="dxa"/>
            <w:vAlign w:val="center"/>
          </w:tcPr>
          <w:p w14:paraId="08B5116D" w14:textId="0C27B9AF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YF discouraged from seeking care despite gastric relapse</w:t>
            </w:r>
          </w:p>
        </w:tc>
        <w:tc>
          <w:tcPr>
            <w:tcW w:w="1389" w:type="dxa"/>
            <w:vAlign w:val="center"/>
          </w:tcPr>
          <w:p w14:paraId="256A30CB" w14:textId="6B0B1BAE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YF</w:t>
            </w:r>
          </w:p>
        </w:tc>
        <w:tc>
          <w:tcPr>
            <w:tcW w:w="3123" w:type="dxa"/>
            <w:vAlign w:val="center"/>
          </w:tcPr>
          <w:p w14:paraId="75DEA1B0" w14:textId="2431C964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Delay emerges from combined stigma and economic precarity.</w:t>
            </w:r>
          </w:p>
        </w:tc>
        <w:tc>
          <w:tcPr>
            <w:tcW w:w="1605" w:type="dxa"/>
            <w:vAlign w:val="center"/>
          </w:tcPr>
          <w:p w14:paraId="78EDDF7F" w14:textId="2507B974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Outcome</w:t>
            </w:r>
          </w:p>
        </w:tc>
      </w:tr>
      <w:tr w:rsidR="00613A1E" w14:paraId="2974452D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28651994" w14:textId="5C6D54A6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49930A66" w14:textId="3A1D3DD6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Selective care-seeking</w:t>
            </w:r>
          </w:p>
        </w:tc>
        <w:tc>
          <w:tcPr>
            <w:tcW w:w="1709" w:type="dxa"/>
            <w:vAlign w:val="center"/>
          </w:tcPr>
          <w:p w14:paraId="2902B769" w14:textId="0EDA2033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Care only when safe or urgent</w:t>
            </w:r>
          </w:p>
        </w:tc>
        <w:tc>
          <w:tcPr>
            <w:tcW w:w="2413" w:type="dxa"/>
            <w:vAlign w:val="center"/>
          </w:tcPr>
          <w:p w14:paraId="6842EE24" w14:textId="6111F5C1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Using trusted spaces, delaying until necessary, avoiding hostile settings</w:t>
            </w:r>
          </w:p>
        </w:tc>
        <w:tc>
          <w:tcPr>
            <w:tcW w:w="2642" w:type="dxa"/>
            <w:vAlign w:val="center"/>
          </w:tcPr>
          <w:p w14:paraId="6AB6C15A" w14:textId="090DD3EB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Cross-case pattern</w:t>
            </w:r>
          </w:p>
        </w:tc>
        <w:tc>
          <w:tcPr>
            <w:tcW w:w="1389" w:type="dxa"/>
            <w:vAlign w:val="center"/>
          </w:tcPr>
          <w:p w14:paraId="00249794" w14:textId="728799F0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Cross-case</w:t>
            </w:r>
          </w:p>
        </w:tc>
        <w:tc>
          <w:tcPr>
            <w:tcW w:w="3123" w:type="dxa"/>
            <w:vAlign w:val="center"/>
          </w:tcPr>
          <w:p w14:paraId="16D7C23D" w14:textId="57297589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Participants do not reject healthcare; they triage risk.</w:t>
            </w:r>
          </w:p>
        </w:tc>
        <w:tc>
          <w:tcPr>
            <w:tcW w:w="1605" w:type="dxa"/>
            <w:vAlign w:val="center"/>
          </w:tcPr>
          <w:p w14:paraId="6E435DD9" w14:textId="6C8EF198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Outcome</w:t>
            </w:r>
          </w:p>
        </w:tc>
      </w:tr>
      <w:tr w:rsidR="00613A1E" w14:paraId="3230CD4E" w14:textId="77777777" w:rsidTr="00613A1E">
        <w:trPr>
          <w:cantSplit/>
        </w:trPr>
        <w:tc>
          <w:tcPr>
            <w:tcW w:w="1980" w:type="dxa"/>
            <w:vMerge/>
            <w:vAlign w:val="center"/>
          </w:tcPr>
          <w:p w14:paraId="6C8E9840" w14:textId="5AB5B4E0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3573C557" w14:textId="54B85FA4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Avoided care</w:t>
            </w:r>
          </w:p>
        </w:tc>
        <w:tc>
          <w:tcPr>
            <w:tcW w:w="1709" w:type="dxa"/>
            <w:vAlign w:val="center"/>
          </w:tcPr>
          <w:p w14:paraId="35665846" w14:textId="4039F0F1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Non-use of services</w:t>
            </w:r>
          </w:p>
        </w:tc>
        <w:tc>
          <w:tcPr>
            <w:tcW w:w="2413" w:type="dxa"/>
            <w:vAlign w:val="center"/>
          </w:tcPr>
          <w:p w14:paraId="32553BB7" w14:textId="09DD29A4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Not approaching care due to expected judgment or exposure</w:t>
            </w:r>
          </w:p>
        </w:tc>
        <w:tc>
          <w:tcPr>
            <w:tcW w:w="2642" w:type="dxa"/>
            <w:vAlign w:val="center"/>
          </w:tcPr>
          <w:p w14:paraId="0AE09D7F" w14:textId="04933520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Discussed in Results and Figure 1</w:t>
            </w:r>
          </w:p>
        </w:tc>
        <w:tc>
          <w:tcPr>
            <w:tcW w:w="1389" w:type="dxa"/>
            <w:vAlign w:val="center"/>
          </w:tcPr>
          <w:p w14:paraId="6606C596" w14:textId="1E69B71D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Cross-case</w:t>
            </w:r>
          </w:p>
        </w:tc>
        <w:tc>
          <w:tcPr>
            <w:tcW w:w="3123" w:type="dxa"/>
            <w:vAlign w:val="center"/>
          </w:tcPr>
          <w:p w14:paraId="2CD6EB07" w14:textId="58A286A3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Avoidance is a protective strategy under unsafe conditions.</w:t>
            </w:r>
          </w:p>
        </w:tc>
        <w:tc>
          <w:tcPr>
            <w:tcW w:w="1605" w:type="dxa"/>
            <w:vAlign w:val="center"/>
          </w:tcPr>
          <w:p w14:paraId="4C0335B9" w14:textId="6E13F068" w:rsidR="00613A1E" w:rsidRDefault="00613A1E" w:rsidP="00E841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Outcome</w:t>
            </w:r>
          </w:p>
        </w:tc>
      </w:tr>
    </w:tbl>
    <w:p w14:paraId="6B60E30F" w14:textId="0B67E15E" w:rsidR="00E841A6" w:rsidRDefault="00E841A6" w:rsidP="00E841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DB2CF" w14:textId="77777777" w:rsidR="00613A1E" w:rsidRPr="00E841A6" w:rsidRDefault="00613A1E" w:rsidP="00E841A6"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r>
        <w:br w:type="page"/>
      </w:r>
    </w:p>
    <w:p w14:paraId="7EF39B00" w14:textId="77777777" w:rsidR="00E841A6" w:rsidRDefault="00E841A6" w:rsidP="00E841A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841A6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S2. </w:t>
      </w:r>
      <w:r w:rsidRPr="00613A1E">
        <w:rPr>
          <w:rFonts w:ascii="Times New Roman" w:hAnsi="Times New Roman" w:cs="Times New Roman"/>
          <w:i/>
          <w:iCs/>
          <w:sz w:val="24"/>
          <w:szCs w:val="24"/>
        </w:rPr>
        <w:t>Codebook with Definitions, Inclusion, and Exclusion Criteria</w:t>
      </w:r>
    </w:p>
    <w:tbl>
      <w:tblPr>
        <w:tblStyle w:val="TableGrid"/>
        <w:tblW w:w="16650" w:type="dxa"/>
        <w:tblInd w:w="-13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240"/>
        <w:gridCol w:w="3420"/>
        <w:gridCol w:w="2610"/>
        <w:gridCol w:w="2700"/>
        <w:gridCol w:w="2700"/>
      </w:tblGrid>
      <w:tr w:rsidR="00613A1E" w14:paraId="77532479" w14:textId="77777777" w:rsidTr="00613A1E">
        <w:trPr>
          <w:tblHeader w:val="true"/>
          <w:cantSplit/>
        </w:trPr>
        <w:tc>
          <w:tcPr>
            <w:tcW w:w="1980" w:type="dxa"/>
            <w:vAlign w:val="center"/>
          </w:tcPr>
          <w:p w14:paraId="04545DEE" w14:textId="12783F76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Code</w:t>
            </w:r>
          </w:p>
        </w:tc>
        <w:tc>
          <w:tcPr>
            <w:tcW w:w="3240" w:type="dxa"/>
            <w:vAlign w:val="center"/>
          </w:tcPr>
          <w:p w14:paraId="33A41C4C" w14:textId="2A274858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Operational Definition</w:t>
            </w:r>
          </w:p>
        </w:tc>
        <w:tc>
          <w:tcPr>
            <w:tcW w:w="3420" w:type="dxa"/>
            <w:vAlign w:val="center"/>
          </w:tcPr>
          <w:p w14:paraId="39DE6939" w14:textId="400F2479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Include When Data Show…</w:t>
            </w:r>
          </w:p>
        </w:tc>
        <w:tc>
          <w:tcPr>
            <w:tcW w:w="2610" w:type="dxa"/>
            <w:vAlign w:val="center"/>
          </w:tcPr>
          <w:p w14:paraId="247792D7" w14:textId="1FF6FAE5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Exclude When…</w:t>
            </w:r>
          </w:p>
        </w:tc>
        <w:tc>
          <w:tcPr>
            <w:tcW w:w="2700" w:type="dxa"/>
            <w:vAlign w:val="center"/>
          </w:tcPr>
          <w:p w14:paraId="1A49017F" w14:textId="6103DADD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Example Evidence</w:t>
            </w:r>
          </w:p>
        </w:tc>
        <w:tc>
          <w:tcPr>
            <w:tcW w:w="2700" w:type="dxa"/>
            <w:vAlign w:val="center"/>
          </w:tcPr>
          <w:p w14:paraId="7DCB323C" w14:textId="6BF0288C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Analytical Use</w:t>
            </w:r>
          </w:p>
        </w:tc>
      </w:tr>
      <w:tr w:rsidR="00613A1E" w14:paraId="3BE662D1" w14:textId="77777777" w:rsidTr="00613A1E">
        <w:trPr>
          <w:cantSplit/>
        </w:trPr>
        <w:tc>
          <w:tcPr>
            <w:tcW w:w="1980" w:type="dxa"/>
            <w:vAlign w:val="center"/>
          </w:tcPr>
          <w:p w14:paraId="4BAB3FC0" w14:textId="77508202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Gender correction pressure</w:t>
            </w:r>
          </w:p>
        </w:tc>
        <w:tc>
          <w:tcPr>
            <w:tcW w:w="3240" w:type="dxa"/>
            <w:vAlign w:val="center"/>
          </w:tcPr>
          <w:p w14:paraId="03B98417" w14:textId="6698905E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 xml:space="preserve">Direct or indirect demand that participants abandon </w:t>
            </w:r>
            <w:proofErr w:type="spellStart"/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waria</w:t>
            </w:r>
            <w:proofErr w:type="spellEnd"/>
            <w:r w:rsidRPr="00E841A6">
              <w:rPr>
                <w:rFonts w:ascii="Times New Roman" w:hAnsi="Times New Roman" w:cs="Times New Roman"/>
                <w:sz w:val="18"/>
                <w:szCs w:val="24"/>
              </w:rPr>
              <w:t xml:space="preserve"> identity or conform to male identity</w:t>
            </w:r>
          </w:p>
        </w:tc>
        <w:tc>
          <w:tcPr>
            <w:tcW w:w="3420" w:type="dxa"/>
            <w:vAlign w:val="center"/>
          </w:tcPr>
          <w:p w14:paraId="7F0D29F0" w14:textId="05E759EB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Statements about being told to become a man, repent, return to “nature,” or change gender expression</w:t>
            </w:r>
          </w:p>
        </w:tc>
        <w:tc>
          <w:tcPr>
            <w:tcW w:w="2610" w:type="dxa"/>
            <w:vAlign w:val="center"/>
          </w:tcPr>
          <w:p w14:paraId="370ED63F" w14:textId="177131D7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General economic hardship without identity correction</w:t>
            </w:r>
          </w:p>
        </w:tc>
        <w:tc>
          <w:tcPr>
            <w:tcW w:w="2700" w:type="dxa"/>
            <w:vAlign w:val="center"/>
          </w:tcPr>
          <w:p w14:paraId="4F3E04AE" w14:textId="6C91B1AF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MR’s refusal to “be a man”</w:t>
            </w:r>
          </w:p>
        </w:tc>
        <w:tc>
          <w:tcPr>
            <w:tcW w:w="2700" w:type="dxa"/>
            <w:vAlign w:val="center"/>
          </w:tcPr>
          <w:p w14:paraId="1946603A" w14:textId="2C5A89B3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Shows stigma begins before healthcare contact</w:t>
            </w:r>
          </w:p>
        </w:tc>
      </w:tr>
      <w:tr w:rsidR="00613A1E" w14:paraId="79B7E5D2" w14:textId="77777777" w:rsidTr="00613A1E">
        <w:trPr>
          <w:cantSplit/>
        </w:trPr>
        <w:tc>
          <w:tcPr>
            <w:tcW w:w="1980" w:type="dxa"/>
            <w:vAlign w:val="center"/>
          </w:tcPr>
          <w:p w14:paraId="1069CC49" w14:textId="28616D13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Fragile acceptance</w:t>
            </w:r>
          </w:p>
        </w:tc>
        <w:tc>
          <w:tcPr>
            <w:tcW w:w="3240" w:type="dxa"/>
            <w:vAlign w:val="center"/>
          </w:tcPr>
          <w:p w14:paraId="45CED6A0" w14:textId="3CA22B99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Acceptance experienced as conditional, unstable, or dependent on interpersonal approval</w:t>
            </w:r>
          </w:p>
        </w:tc>
        <w:tc>
          <w:tcPr>
            <w:tcW w:w="3420" w:type="dxa"/>
            <w:vAlign w:val="center"/>
          </w:tcPr>
          <w:p w14:paraId="2B0C8441" w14:textId="346F612D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Participants seek validation, safety, or acceptance from others</w:t>
            </w:r>
          </w:p>
        </w:tc>
        <w:tc>
          <w:tcPr>
            <w:tcW w:w="2610" w:type="dxa"/>
            <w:vAlign w:val="center"/>
          </w:tcPr>
          <w:p w14:paraId="1A3A7A12" w14:textId="2FEFD7F6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General friendliness without risk of rejection</w:t>
            </w:r>
          </w:p>
        </w:tc>
        <w:tc>
          <w:tcPr>
            <w:tcW w:w="2700" w:type="dxa"/>
            <w:vAlign w:val="center"/>
          </w:tcPr>
          <w:p w14:paraId="5069D0D1" w14:textId="1F3CBF54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AG wanting to be accepted as she is</w:t>
            </w:r>
          </w:p>
        </w:tc>
        <w:tc>
          <w:tcPr>
            <w:tcW w:w="2700" w:type="dxa"/>
            <w:vAlign w:val="center"/>
          </w:tcPr>
          <w:p w14:paraId="067CB852" w14:textId="7884AD83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Explains why users test spaces before accessing care</w:t>
            </w:r>
          </w:p>
        </w:tc>
      </w:tr>
      <w:tr w:rsidR="00613A1E" w14:paraId="2BC332E6" w14:textId="77777777" w:rsidTr="00613A1E">
        <w:trPr>
          <w:cantSplit/>
        </w:trPr>
        <w:tc>
          <w:tcPr>
            <w:tcW w:w="1980" w:type="dxa"/>
            <w:vAlign w:val="center"/>
          </w:tcPr>
          <w:p w14:paraId="1EF8A6CC" w14:textId="15017D0B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Anticipated humiliation</w:t>
            </w:r>
          </w:p>
        </w:tc>
        <w:tc>
          <w:tcPr>
            <w:tcW w:w="3240" w:type="dxa"/>
            <w:vAlign w:val="center"/>
          </w:tcPr>
          <w:p w14:paraId="44239D2D" w14:textId="7526CB9C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Expectation of being shamed, mocked, laughed at, or morally judged</w:t>
            </w:r>
          </w:p>
        </w:tc>
        <w:tc>
          <w:tcPr>
            <w:tcW w:w="3420" w:type="dxa"/>
            <w:vAlign w:val="center"/>
          </w:tcPr>
          <w:p w14:paraId="2551A29D" w14:textId="6C5E1DD9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Participants fear ridicule in waiting rooms, registration, or provider interaction</w:t>
            </w:r>
          </w:p>
        </w:tc>
        <w:tc>
          <w:tcPr>
            <w:tcW w:w="2610" w:type="dxa"/>
            <w:vAlign w:val="center"/>
          </w:tcPr>
          <w:p w14:paraId="47D81DA7" w14:textId="71AC0989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Actual clinical mistreatment only, unless connected to anticipation</w:t>
            </w:r>
          </w:p>
        </w:tc>
        <w:tc>
          <w:tcPr>
            <w:tcW w:w="2700" w:type="dxa"/>
            <w:vAlign w:val="center"/>
          </w:tcPr>
          <w:p w14:paraId="48F6677C" w14:textId="6FF6C8C6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YF discouraged after waiting-room mockery</w:t>
            </w:r>
          </w:p>
        </w:tc>
        <w:tc>
          <w:tcPr>
            <w:tcW w:w="2700" w:type="dxa"/>
            <w:vAlign w:val="center"/>
          </w:tcPr>
          <w:p w14:paraId="2FECD564" w14:textId="69814572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Explains delay and avoidance</w:t>
            </w:r>
          </w:p>
        </w:tc>
      </w:tr>
      <w:tr w:rsidR="00613A1E" w14:paraId="4D8C2BF8" w14:textId="77777777" w:rsidTr="00613A1E">
        <w:trPr>
          <w:cantSplit/>
        </w:trPr>
        <w:tc>
          <w:tcPr>
            <w:tcW w:w="1980" w:type="dxa"/>
            <w:vAlign w:val="center"/>
          </w:tcPr>
          <w:p w14:paraId="7A8465A9" w14:textId="1F520773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Economic survival priority</w:t>
            </w:r>
          </w:p>
        </w:tc>
        <w:tc>
          <w:tcPr>
            <w:tcW w:w="3240" w:type="dxa"/>
            <w:vAlign w:val="center"/>
          </w:tcPr>
          <w:p w14:paraId="443D08DE" w14:textId="28F482DF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Immediate living costs override health-related decisions</w:t>
            </w:r>
          </w:p>
        </w:tc>
        <w:tc>
          <w:tcPr>
            <w:tcW w:w="3420" w:type="dxa"/>
            <w:vAlign w:val="center"/>
          </w:tcPr>
          <w:p w14:paraId="748A0BE1" w14:textId="474D726A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Rent, food, transportation, work income, family remittance, savings</w:t>
            </w:r>
          </w:p>
        </w:tc>
        <w:tc>
          <w:tcPr>
            <w:tcW w:w="2610" w:type="dxa"/>
            <w:vAlign w:val="center"/>
          </w:tcPr>
          <w:p w14:paraId="6EF6B1C5" w14:textId="012B1857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Abstract poverty not linked to care-seeking</w:t>
            </w:r>
          </w:p>
        </w:tc>
        <w:tc>
          <w:tcPr>
            <w:tcW w:w="2700" w:type="dxa"/>
            <w:vAlign w:val="center"/>
          </w:tcPr>
          <w:p w14:paraId="090EB64D" w14:textId="6D516E2F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YF paying rent and sending money home</w:t>
            </w:r>
          </w:p>
        </w:tc>
        <w:tc>
          <w:tcPr>
            <w:tcW w:w="2700" w:type="dxa"/>
            <w:vAlign w:val="center"/>
          </w:tcPr>
          <w:p w14:paraId="14745276" w14:textId="67FD0433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Shows economic precarity as access barrier</w:t>
            </w:r>
          </w:p>
        </w:tc>
      </w:tr>
      <w:tr w:rsidR="00613A1E" w14:paraId="215D6BCB" w14:textId="77777777" w:rsidTr="00613A1E">
        <w:trPr>
          <w:cantSplit/>
        </w:trPr>
        <w:tc>
          <w:tcPr>
            <w:tcW w:w="1980" w:type="dxa"/>
            <w:vAlign w:val="center"/>
          </w:tcPr>
          <w:p w14:paraId="157F9E4A" w14:textId="7096F8F5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Informal livelihood instability</w:t>
            </w:r>
          </w:p>
        </w:tc>
        <w:tc>
          <w:tcPr>
            <w:tcW w:w="3240" w:type="dxa"/>
            <w:vAlign w:val="center"/>
          </w:tcPr>
          <w:p w14:paraId="5BE84483" w14:textId="6AD9C670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Income from informal work is uncertain and affects healthcare planning</w:t>
            </w:r>
          </w:p>
        </w:tc>
        <w:tc>
          <w:tcPr>
            <w:tcW w:w="3420" w:type="dxa"/>
            <w:vAlign w:val="center"/>
          </w:tcPr>
          <w:p w14:paraId="7899484D" w14:textId="3F9EA535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Make-up work, unstable job options, return to previous work under pressure</w:t>
            </w:r>
          </w:p>
        </w:tc>
        <w:tc>
          <w:tcPr>
            <w:tcW w:w="2610" w:type="dxa"/>
            <w:vAlign w:val="center"/>
          </w:tcPr>
          <w:p w14:paraId="2B77B5B3" w14:textId="4434B919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Stable work without effect on health access</w:t>
            </w:r>
          </w:p>
        </w:tc>
        <w:tc>
          <w:tcPr>
            <w:tcW w:w="2700" w:type="dxa"/>
            <w:vAlign w:val="center"/>
          </w:tcPr>
          <w:p w14:paraId="2A825418" w14:textId="35ADBB91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AY returning to prior work when “</w:t>
            </w:r>
            <w:proofErr w:type="spellStart"/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kepepet</w:t>
            </w:r>
            <w:proofErr w:type="spellEnd"/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”</w:t>
            </w:r>
          </w:p>
        </w:tc>
        <w:tc>
          <w:tcPr>
            <w:tcW w:w="2700" w:type="dxa"/>
            <w:vAlign w:val="center"/>
          </w:tcPr>
          <w:p w14:paraId="64E0DBCE" w14:textId="65016817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Links livelihood precarity to limited autonomy</w:t>
            </w:r>
          </w:p>
        </w:tc>
      </w:tr>
      <w:tr w:rsidR="00613A1E" w14:paraId="3EB90689" w14:textId="77777777" w:rsidTr="00613A1E">
        <w:trPr>
          <w:cantSplit/>
        </w:trPr>
        <w:tc>
          <w:tcPr>
            <w:tcW w:w="1980" w:type="dxa"/>
            <w:vAlign w:val="center"/>
          </w:tcPr>
          <w:p w14:paraId="17FD0B30" w14:textId="02031FF6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Service mistrust</w:t>
            </w:r>
          </w:p>
        </w:tc>
        <w:tc>
          <w:tcPr>
            <w:tcW w:w="3240" w:type="dxa"/>
            <w:vAlign w:val="center"/>
          </w:tcPr>
          <w:p w14:paraId="61A2EC01" w14:textId="4CEDDF88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Participants perceive formal services as potentially unsafe, disrespectful, or exposing</w:t>
            </w:r>
          </w:p>
        </w:tc>
        <w:tc>
          <w:tcPr>
            <w:tcW w:w="3420" w:type="dxa"/>
            <w:vAlign w:val="center"/>
          </w:tcPr>
          <w:p w14:paraId="4244CBB6" w14:textId="5CA542F7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Fear of judgment, confidentiality breach, humiliating registration</w:t>
            </w:r>
          </w:p>
        </w:tc>
        <w:tc>
          <w:tcPr>
            <w:tcW w:w="2610" w:type="dxa"/>
            <w:vAlign w:val="center"/>
          </w:tcPr>
          <w:p w14:paraId="6447EDCA" w14:textId="4B06F76A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Neutral unfamiliarity with services</w:t>
            </w:r>
          </w:p>
        </w:tc>
        <w:tc>
          <w:tcPr>
            <w:tcW w:w="2700" w:type="dxa"/>
            <w:vAlign w:val="center"/>
          </w:tcPr>
          <w:p w14:paraId="367A5512" w14:textId="654E76BF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Cross-case anticipation of disrespect</w:t>
            </w:r>
          </w:p>
        </w:tc>
        <w:tc>
          <w:tcPr>
            <w:tcW w:w="2700" w:type="dxa"/>
            <w:vAlign w:val="center"/>
          </w:tcPr>
          <w:p w14:paraId="0E1E6297" w14:textId="0E2E640B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Identifies institutional barrier</w:t>
            </w:r>
          </w:p>
        </w:tc>
      </w:tr>
      <w:tr w:rsidR="00613A1E" w14:paraId="0CEF238B" w14:textId="77777777" w:rsidTr="00613A1E">
        <w:trPr>
          <w:cantSplit/>
        </w:trPr>
        <w:tc>
          <w:tcPr>
            <w:tcW w:w="1980" w:type="dxa"/>
            <w:vAlign w:val="center"/>
          </w:tcPr>
          <w:p w14:paraId="5B3C7AC7" w14:textId="24C0A7A1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Privacy risk</w:t>
            </w:r>
          </w:p>
        </w:tc>
        <w:tc>
          <w:tcPr>
            <w:tcW w:w="3240" w:type="dxa"/>
            <w:vAlign w:val="center"/>
          </w:tcPr>
          <w:p w14:paraId="3A3F094C" w14:textId="0DEB96B8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Fear that identity, occupation, or health information may be disclosed</w:t>
            </w:r>
          </w:p>
        </w:tc>
        <w:tc>
          <w:tcPr>
            <w:tcW w:w="3420" w:type="dxa"/>
            <w:vAlign w:val="center"/>
          </w:tcPr>
          <w:p w14:paraId="1F547CC2" w14:textId="2201D268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Concerns about confidentiality, gossip, exposure, unsafe referral</w:t>
            </w:r>
          </w:p>
        </w:tc>
        <w:tc>
          <w:tcPr>
            <w:tcW w:w="2610" w:type="dxa"/>
            <w:vAlign w:val="center"/>
          </w:tcPr>
          <w:p w14:paraId="0742D148" w14:textId="3AF1B726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Routine data collection without stigma risk</w:t>
            </w:r>
          </w:p>
        </w:tc>
        <w:tc>
          <w:tcPr>
            <w:tcW w:w="2700" w:type="dxa"/>
            <w:vAlign w:val="center"/>
          </w:tcPr>
          <w:p w14:paraId="2963707A" w14:textId="660BFEB3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Manuscript emphasis on privacy protection</w:t>
            </w:r>
          </w:p>
        </w:tc>
        <w:tc>
          <w:tcPr>
            <w:tcW w:w="2700" w:type="dxa"/>
            <w:vAlign w:val="center"/>
          </w:tcPr>
          <w:p w14:paraId="66DED06F" w14:textId="75370752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Supports recommendation for confidential intake</w:t>
            </w:r>
          </w:p>
        </w:tc>
      </w:tr>
      <w:tr w:rsidR="00613A1E" w14:paraId="786DA299" w14:textId="77777777" w:rsidTr="00613A1E">
        <w:trPr>
          <w:cantSplit/>
        </w:trPr>
        <w:tc>
          <w:tcPr>
            <w:tcW w:w="1980" w:type="dxa"/>
            <w:vAlign w:val="center"/>
          </w:tcPr>
          <w:p w14:paraId="4D335094" w14:textId="5B20BD03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Identity management</w:t>
            </w:r>
          </w:p>
        </w:tc>
        <w:tc>
          <w:tcPr>
            <w:tcW w:w="3240" w:type="dxa"/>
            <w:vAlign w:val="center"/>
          </w:tcPr>
          <w:p w14:paraId="44A729BD" w14:textId="12000F68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Strategies used to manage visibility, disclosure, silence, or self-presentation</w:t>
            </w:r>
          </w:p>
        </w:tc>
        <w:tc>
          <w:tcPr>
            <w:tcW w:w="3420" w:type="dxa"/>
            <w:vAlign w:val="center"/>
          </w:tcPr>
          <w:p w14:paraId="5BF907AF" w14:textId="275BD12A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Selective disclosure, remaining silent, relying on trusted people, asserting identity</w:t>
            </w:r>
          </w:p>
        </w:tc>
        <w:tc>
          <w:tcPr>
            <w:tcW w:w="2610" w:type="dxa"/>
            <w:vAlign w:val="center"/>
          </w:tcPr>
          <w:p w14:paraId="7BA89E1C" w14:textId="0873FD92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Ordinary preference unrelated to safety</w:t>
            </w:r>
          </w:p>
        </w:tc>
        <w:tc>
          <w:tcPr>
            <w:tcW w:w="2700" w:type="dxa"/>
            <w:vAlign w:val="center"/>
          </w:tcPr>
          <w:p w14:paraId="0EC69AB3" w14:textId="64D37E30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MR assertion; AY tactical work decisions</w:t>
            </w:r>
          </w:p>
        </w:tc>
        <w:tc>
          <w:tcPr>
            <w:tcW w:w="2700" w:type="dxa"/>
            <w:vAlign w:val="center"/>
          </w:tcPr>
          <w:p w14:paraId="742988AF" w14:textId="209CE177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Shows agency under constraint</w:t>
            </w:r>
          </w:p>
        </w:tc>
      </w:tr>
      <w:tr w:rsidR="00613A1E" w14:paraId="4E098565" w14:textId="77777777" w:rsidTr="00613A1E">
        <w:trPr>
          <w:cantSplit/>
        </w:trPr>
        <w:tc>
          <w:tcPr>
            <w:tcW w:w="1980" w:type="dxa"/>
            <w:vAlign w:val="center"/>
          </w:tcPr>
          <w:p w14:paraId="2103BFB2" w14:textId="3D824688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Safe first contact</w:t>
            </w:r>
          </w:p>
        </w:tc>
        <w:tc>
          <w:tcPr>
            <w:tcW w:w="3240" w:type="dxa"/>
            <w:vAlign w:val="center"/>
          </w:tcPr>
          <w:p w14:paraId="27DDC9BC" w14:textId="49D8A101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Conditions needed at the first point of service entry</w:t>
            </w:r>
          </w:p>
        </w:tc>
        <w:tc>
          <w:tcPr>
            <w:tcW w:w="3420" w:type="dxa"/>
            <w:vAlign w:val="center"/>
          </w:tcPr>
          <w:p w14:paraId="02910260" w14:textId="16A575CA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Respectful greeting, nonjudgmental intake, correct identity handling</w:t>
            </w:r>
          </w:p>
        </w:tc>
        <w:tc>
          <w:tcPr>
            <w:tcW w:w="2610" w:type="dxa"/>
            <w:vAlign w:val="center"/>
          </w:tcPr>
          <w:p w14:paraId="1014BE85" w14:textId="64A4725D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Clinical treatment quality only after entry</w:t>
            </w:r>
          </w:p>
        </w:tc>
        <w:tc>
          <w:tcPr>
            <w:tcW w:w="2700" w:type="dxa"/>
            <w:vAlign w:val="center"/>
          </w:tcPr>
          <w:p w14:paraId="06DDBD27" w14:textId="13C44B88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Results 5.5</w:t>
            </w:r>
          </w:p>
        </w:tc>
        <w:tc>
          <w:tcPr>
            <w:tcW w:w="2700" w:type="dxa"/>
            <w:vAlign w:val="center"/>
          </w:tcPr>
          <w:p w14:paraId="03AE3A91" w14:textId="6C92498A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Translates findings into service design</w:t>
            </w:r>
          </w:p>
        </w:tc>
      </w:tr>
      <w:tr w:rsidR="00613A1E" w14:paraId="080D023A" w14:textId="77777777" w:rsidTr="00613A1E">
        <w:trPr>
          <w:cantSplit/>
        </w:trPr>
        <w:tc>
          <w:tcPr>
            <w:tcW w:w="1980" w:type="dxa"/>
            <w:vAlign w:val="center"/>
          </w:tcPr>
          <w:p w14:paraId="5E4F60C9" w14:textId="431C289F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Delayed care</w:t>
            </w:r>
          </w:p>
        </w:tc>
        <w:tc>
          <w:tcPr>
            <w:tcW w:w="3240" w:type="dxa"/>
            <w:vAlign w:val="center"/>
          </w:tcPr>
          <w:p w14:paraId="2640EAD8" w14:textId="2A4F2E69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Postponement of healthcare despite need</w:t>
            </w:r>
          </w:p>
        </w:tc>
        <w:tc>
          <w:tcPr>
            <w:tcW w:w="3420" w:type="dxa"/>
            <w:vAlign w:val="center"/>
          </w:tcPr>
          <w:p w14:paraId="237E228F" w14:textId="3AB43308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Chronic symptoms untreated, care postponed due to fear or cost</w:t>
            </w:r>
          </w:p>
        </w:tc>
        <w:tc>
          <w:tcPr>
            <w:tcW w:w="2610" w:type="dxa"/>
            <w:vAlign w:val="center"/>
          </w:tcPr>
          <w:p w14:paraId="3900835E" w14:textId="2E169F49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No evidence of health need</w:t>
            </w:r>
          </w:p>
        </w:tc>
        <w:tc>
          <w:tcPr>
            <w:tcW w:w="2700" w:type="dxa"/>
            <w:vAlign w:val="center"/>
          </w:tcPr>
          <w:p w14:paraId="63BC888F" w14:textId="34E98425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YF delaying care after humiliating experience</w:t>
            </w:r>
          </w:p>
        </w:tc>
        <w:tc>
          <w:tcPr>
            <w:tcW w:w="2700" w:type="dxa"/>
            <w:vAlign w:val="center"/>
          </w:tcPr>
          <w:p w14:paraId="52CFC6DE" w14:textId="7D7F43FF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Outcome code</w:t>
            </w:r>
          </w:p>
        </w:tc>
      </w:tr>
      <w:tr w:rsidR="00613A1E" w14:paraId="21FC1C11" w14:textId="77777777" w:rsidTr="00613A1E">
        <w:trPr>
          <w:cantSplit/>
        </w:trPr>
        <w:tc>
          <w:tcPr>
            <w:tcW w:w="1980" w:type="dxa"/>
            <w:vAlign w:val="center"/>
          </w:tcPr>
          <w:p w14:paraId="761B1ACC" w14:textId="1660958F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Selective care-seeking</w:t>
            </w:r>
          </w:p>
        </w:tc>
        <w:tc>
          <w:tcPr>
            <w:tcW w:w="3240" w:type="dxa"/>
            <w:vAlign w:val="center"/>
          </w:tcPr>
          <w:p w14:paraId="08DFF900" w14:textId="1256559C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Seeking care only under specific safe, trusted, or urgent conditions</w:t>
            </w:r>
          </w:p>
        </w:tc>
        <w:tc>
          <w:tcPr>
            <w:tcW w:w="3420" w:type="dxa"/>
            <w:vAlign w:val="center"/>
          </w:tcPr>
          <w:p w14:paraId="13603644" w14:textId="151F002A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Participants weigh risk before approaching services</w:t>
            </w:r>
          </w:p>
        </w:tc>
        <w:tc>
          <w:tcPr>
            <w:tcW w:w="2610" w:type="dxa"/>
            <w:vAlign w:val="center"/>
          </w:tcPr>
          <w:p w14:paraId="6D0E8A32" w14:textId="61561177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Routine healthcare use without risk calculation</w:t>
            </w:r>
          </w:p>
        </w:tc>
        <w:tc>
          <w:tcPr>
            <w:tcW w:w="2700" w:type="dxa"/>
            <w:vAlign w:val="center"/>
          </w:tcPr>
          <w:p w14:paraId="61D8828B" w14:textId="3DE8E3A3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Cross-case pattern</w:t>
            </w:r>
          </w:p>
        </w:tc>
        <w:tc>
          <w:tcPr>
            <w:tcW w:w="2700" w:type="dxa"/>
            <w:vAlign w:val="center"/>
          </w:tcPr>
          <w:p w14:paraId="4A14FB5E" w14:textId="2A71C327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Shows care-seeking as conditional</w:t>
            </w:r>
          </w:p>
        </w:tc>
      </w:tr>
      <w:tr w:rsidR="00613A1E" w14:paraId="054B732A" w14:textId="77777777" w:rsidTr="00613A1E">
        <w:trPr>
          <w:cantSplit/>
        </w:trPr>
        <w:tc>
          <w:tcPr>
            <w:tcW w:w="1980" w:type="dxa"/>
            <w:vAlign w:val="center"/>
          </w:tcPr>
          <w:p w14:paraId="5FCD86A0" w14:textId="695867F6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Avoided care</w:t>
            </w:r>
          </w:p>
        </w:tc>
        <w:tc>
          <w:tcPr>
            <w:tcW w:w="3240" w:type="dxa"/>
            <w:vAlign w:val="center"/>
          </w:tcPr>
          <w:p w14:paraId="6AB288C8" w14:textId="7F993C6D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Non-use or avoidance of formal services</w:t>
            </w:r>
          </w:p>
        </w:tc>
        <w:tc>
          <w:tcPr>
            <w:tcW w:w="3420" w:type="dxa"/>
            <w:vAlign w:val="center"/>
          </w:tcPr>
          <w:p w14:paraId="5E3646A2" w14:textId="34B02FAA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Fear, shame, economic pressure, or privacy risk prevents service use</w:t>
            </w:r>
          </w:p>
        </w:tc>
        <w:tc>
          <w:tcPr>
            <w:tcW w:w="2610" w:type="dxa"/>
            <w:vAlign w:val="center"/>
          </w:tcPr>
          <w:p w14:paraId="634096DB" w14:textId="66214F38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Temporary delay without avoidance</w:t>
            </w:r>
          </w:p>
        </w:tc>
        <w:tc>
          <w:tcPr>
            <w:tcW w:w="2700" w:type="dxa"/>
            <w:vAlign w:val="center"/>
          </w:tcPr>
          <w:p w14:paraId="3FE83FE0" w14:textId="26E8F59B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Figure 1 outcome</w:t>
            </w:r>
          </w:p>
        </w:tc>
        <w:tc>
          <w:tcPr>
            <w:tcW w:w="2700" w:type="dxa"/>
            <w:vAlign w:val="center"/>
          </w:tcPr>
          <w:p w14:paraId="4BE758EE" w14:textId="5223021D" w:rsidR="00613A1E" w:rsidRDefault="00613A1E" w:rsidP="0061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Captures most restrictive access outcome</w:t>
            </w:r>
          </w:p>
        </w:tc>
      </w:tr>
    </w:tbl>
    <w:p w14:paraId="61B3E680" w14:textId="77777777" w:rsidR="00613A1E" w:rsidRDefault="00613A1E" w:rsidP="00E841A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8B51F" w14:textId="77777777" w:rsidR="00613A1E" w:rsidRDefault="00613A1E" w:rsidP="00E841A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>
      <w:r>
        <w:br w:type="page"/>
      </w:r>
    </w:p>
    <w:p w14:paraId="785BF125" w14:textId="55587D38" w:rsidR="00E841A6" w:rsidRDefault="00E841A6" w:rsidP="00E84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41A6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S3. </w:t>
      </w:r>
      <w:r w:rsidRPr="00613A1E">
        <w:rPr>
          <w:rFonts w:ascii="Times New Roman" w:hAnsi="Times New Roman" w:cs="Times New Roman"/>
          <w:sz w:val="24"/>
          <w:szCs w:val="24"/>
        </w:rPr>
        <w:t>Participant-by-Code Matrix</w:t>
      </w:r>
    </w:p>
    <w:tbl>
      <w:tblPr>
        <w:tblStyle w:val="TableGrid"/>
        <w:tblW w:w="16650" w:type="dxa"/>
        <w:tblInd w:w="-13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1270"/>
        <w:gridCol w:w="2130"/>
        <w:gridCol w:w="1389"/>
        <w:gridCol w:w="1401"/>
        <w:gridCol w:w="1430"/>
        <w:gridCol w:w="1750"/>
        <w:gridCol w:w="1270"/>
        <w:gridCol w:w="2520"/>
        <w:gridCol w:w="2113"/>
      </w:tblGrid>
      <w:tr w:rsidR="00613A1E" w14:paraId="01CA9B07" w14:textId="77777777" w:rsidTr="00613A1E">
        <w:trPr>
          <w:tblHeader w:val="true"/>
          <w:cantSplit/>
        </w:trPr>
        <w:tc>
          <w:tcPr>
            <w:tcW w:w="1377" w:type="dxa"/>
            <w:vAlign w:val="center"/>
          </w:tcPr>
          <w:p w14:paraId="7C3783FC" w14:textId="0919E10A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Participant</w:t>
            </w:r>
          </w:p>
        </w:tc>
        <w:tc>
          <w:tcPr>
            <w:tcW w:w="1270" w:type="dxa"/>
            <w:vAlign w:val="center"/>
          </w:tcPr>
          <w:p w14:paraId="78CF5B58" w14:textId="40DAF01C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Social Exclusion</w:t>
            </w:r>
          </w:p>
        </w:tc>
        <w:tc>
          <w:tcPr>
            <w:tcW w:w="2190" w:type="dxa"/>
            <w:vAlign w:val="center"/>
          </w:tcPr>
          <w:p w14:paraId="45F04876" w14:textId="2A3A33D8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Gender Correction Pressure</w:t>
            </w:r>
          </w:p>
        </w:tc>
        <w:tc>
          <w:tcPr>
            <w:tcW w:w="1389" w:type="dxa"/>
            <w:vAlign w:val="center"/>
          </w:tcPr>
          <w:p w14:paraId="2E18BCB2" w14:textId="15E3BEDC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Fragile Acceptance</w:t>
            </w:r>
          </w:p>
        </w:tc>
        <w:tc>
          <w:tcPr>
            <w:tcW w:w="1411" w:type="dxa"/>
            <w:vAlign w:val="center"/>
          </w:tcPr>
          <w:p w14:paraId="060BCCBD" w14:textId="5D1DCC25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Economic Precarity</w:t>
            </w:r>
          </w:p>
        </w:tc>
        <w:tc>
          <w:tcPr>
            <w:tcW w:w="1438" w:type="dxa"/>
            <w:vAlign w:val="center"/>
          </w:tcPr>
          <w:p w14:paraId="0DBA1A7F" w14:textId="5B2D998E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Informal Livelihood Constraint</w:t>
            </w:r>
          </w:p>
        </w:tc>
        <w:tc>
          <w:tcPr>
            <w:tcW w:w="1750" w:type="dxa"/>
            <w:vAlign w:val="center"/>
          </w:tcPr>
          <w:p w14:paraId="37973794" w14:textId="7F68CEEC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Anticipated Discrimination</w:t>
            </w:r>
          </w:p>
        </w:tc>
        <w:tc>
          <w:tcPr>
            <w:tcW w:w="1055" w:type="dxa"/>
            <w:vAlign w:val="center"/>
          </w:tcPr>
          <w:p w14:paraId="3F3C0082" w14:textId="72D73AFA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Privacy Concern</w:t>
            </w:r>
          </w:p>
        </w:tc>
        <w:tc>
          <w:tcPr>
            <w:tcW w:w="2591" w:type="dxa"/>
            <w:vAlign w:val="center"/>
          </w:tcPr>
          <w:p w14:paraId="7BEC4999" w14:textId="45FE83C7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Identity Management</w:t>
            </w:r>
          </w:p>
        </w:tc>
        <w:tc>
          <w:tcPr>
            <w:tcW w:w="2179" w:type="dxa"/>
            <w:vAlign w:val="center"/>
          </w:tcPr>
          <w:p w14:paraId="32D072A3" w14:textId="501245FB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Delayed / Selective Care</w:t>
            </w:r>
          </w:p>
        </w:tc>
      </w:tr>
      <w:tr w:rsidR="00613A1E" w14:paraId="62884507" w14:textId="77777777" w:rsidTr="00613A1E">
        <w:trPr>
          <w:cantSplit/>
        </w:trPr>
        <w:tc>
          <w:tcPr>
            <w:tcW w:w="1377" w:type="dxa"/>
            <w:vAlign w:val="center"/>
          </w:tcPr>
          <w:p w14:paraId="54AA1DC7" w14:textId="68137C1B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MR</w:t>
            </w:r>
          </w:p>
        </w:tc>
        <w:tc>
          <w:tcPr>
            <w:tcW w:w="1270" w:type="dxa"/>
            <w:vAlign w:val="center"/>
          </w:tcPr>
          <w:p w14:paraId="1D454B04" w14:textId="4E8D146A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</w:t>
            </w:r>
          </w:p>
        </w:tc>
        <w:tc>
          <w:tcPr>
            <w:tcW w:w="2190" w:type="dxa"/>
            <w:vAlign w:val="center"/>
          </w:tcPr>
          <w:p w14:paraId="065B9C44" w14:textId="155502F9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</w:t>
            </w:r>
          </w:p>
        </w:tc>
        <w:tc>
          <w:tcPr>
            <w:tcW w:w="1389" w:type="dxa"/>
            <w:vAlign w:val="center"/>
          </w:tcPr>
          <w:p w14:paraId="03869EF2" w14:textId="795FC379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Moderate</w:t>
            </w:r>
          </w:p>
        </w:tc>
        <w:tc>
          <w:tcPr>
            <w:tcW w:w="1411" w:type="dxa"/>
            <w:vAlign w:val="center"/>
          </w:tcPr>
          <w:p w14:paraId="5E8C4CE7" w14:textId="69DB01EC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Not primary</w:t>
            </w:r>
          </w:p>
        </w:tc>
        <w:tc>
          <w:tcPr>
            <w:tcW w:w="1438" w:type="dxa"/>
            <w:vAlign w:val="center"/>
          </w:tcPr>
          <w:p w14:paraId="476F3374" w14:textId="11E5BC70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Not primary</w:t>
            </w:r>
          </w:p>
        </w:tc>
        <w:tc>
          <w:tcPr>
            <w:tcW w:w="1750" w:type="dxa"/>
            <w:vAlign w:val="center"/>
          </w:tcPr>
          <w:p w14:paraId="1015B472" w14:textId="357AD846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Moderate</w:t>
            </w:r>
          </w:p>
        </w:tc>
        <w:tc>
          <w:tcPr>
            <w:tcW w:w="1055" w:type="dxa"/>
            <w:vAlign w:val="center"/>
          </w:tcPr>
          <w:p w14:paraId="2BB841F2" w14:textId="44C7C920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Moderate</w:t>
            </w:r>
          </w:p>
        </w:tc>
        <w:tc>
          <w:tcPr>
            <w:tcW w:w="2591" w:type="dxa"/>
            <w:vAlign w:val="center"/>
          </w:tcPr>
          <w:p w14:paraId="56C6B429" w14:textId="3F7BA658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 assertive identity management</w:t>
            </w:r>
          </w:p>
        </w:tc>
        <w:tc>
          <w:tcPr>
            <w:tcW w:w="2179" w:type="dxa"/>
            <w:vAlign w:val="center"/>
          </w:tcPr>
          <w:p w14:paraId="1FFA5B2B" w14:textId="05A95005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Implied</w:t>
            </w:r>
          </w:p>
        </w:tc>
      </w:tr>
      <w:tr w:rsidR="00613A1E" w14:paraId="16E24984" w14:textId="77777777" w:rsidTr="00613A1E">
        <w:trPr>
          <w:cantSplit/>
        </w:trPr>
        <w:tc>
          <w:tcPr>
            <w:tcW w:w="1377" w:type="dxa"/>
            <w:vAlign w:val="center"/>
          </w:tcPr>
          <w:p w14:paraId="20CD1787" w14:textId="4B6F7F52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AG</w:t>
            </w:r>
          </w:p>
        </w:tc>
        <w:tc>
          <w:tcPr>
            <w:tcW w:w="1270" w:type="dxa"/>
            <w:vAlign w:val="center"/>
          </w:tcPr>
          <w:p w14:paraId="770C64CA" w14:textId="0F744CC7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</w:t>
            </w:r>
          </w:p>
        </w:tc>
        <w:tc>
          <w:tcPr>
            <w:tcW w:w="2190" w:type="dxa"/>
            <w:vAlign w:val="center"/>
          </w:tcPr>
          <w:p w14:paraId="318395EA" w14:textId="7BB2158D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Implied</w:t>
            </w:r>
          </w:p>
        </w:tc>
        <w:tc>
          <w:tcPr>
            <w:tcW w:w="1389" w:type="dxa"/>
            <w:vAlign w:val="center"/>
          </w:tcPr>
          <w:p w14:paraId="201B07A7" w14:textId="79F1C951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</w:t>
            </w:r>
          </w:p>
        </w:tc>
        <w:tc>
          <w:tcPr>
            <w:tcW w:w="1411" w:type="dxa"/>
            <w:vAlign w:val="center"/>
          </w:tcPr>
          <w:p w14:paraId="48015CBF" w14:textId="4BC51572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Moderate</w:t>
            </w:r>
          </w:p>
        </w:tc>
        <w:tc>
          <w:tcPr>
            <w:tcW w:w="1438" w:type="dxa"/>
            <w:vAlign w:val="center"/>
          </w:tcPr>
          <w:p w14:paraId="774FE55F" w14:textId="62D49B57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Implied</w:t>
            </w:r>
          </w:p>
        </w:tc>
        <w:tc>
          <w:tcPr>
            <w:tcW w:w="1750" w:type="dxa"/>
            <w:vAlign w:val="center"/>
          </w:tcPr>
          <w:p w14:paraId="4F1F737C" w14:textId="11584C26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</w:t>
            </w:r>
          </w:p>
        </w:tc>
        <w:tc>
          <w:tcPr>
            <w:tcW w:w="1055" w:type="dxa"/>
            <w:vAlign w:val="center"/>
          </w:tcPr>
          <w:p w14:paraId="049E2D33" w14:textId="036E04BB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Moderate</w:t>
            </w:r>
          </w:p>
        </w:tc>
        <w:tc>
          <w:tcPr>
            <w:tcW w:w="2591" w:type="dxa"/>
            <w:vAlign w:val="center"/>
          </w:tcPr>
          <w:p w14:paraId="4338A623" w14:textId="2EB832E1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 relational safety-seeking</w:t>
            </w:r>
          </w:p>
        </w:tc>
        <w:tc>
          <w:tcPr>
            <w:tcW w:w="2179" w:type="dxa"/>
            <w:vAlign w:val="center"/>
          </w:tcPr>
          <w:p w14:paraId="6F4A77C9" w14:textId="6B84BD60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Implied</w:t>
            </w:r>
          </w:p>
        </w:tc>
      </w:tr>
      <w:tr w:rsidR="00613A1E" w14:paraId="05AD523C" w14:textId="77777777" w:rsidTr="00613A1E">
        <w:trPr>
          <w:cantSplit/>
        </w:trPr>
        <w:tc>
          <w:tcPr>
            <w:tcW w:w="1377" w:type="dxa"/>
            <w:vAlign w:val="center"/>
          </w:tcPr>
          <w:p w14:paraId="022B0B39" w14:textId="5E61EB55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YF</w:t>
            </w:r>
          </w:p>
        </w:tc>
        <w:tc>
          <w:tcPr>
            <w:tcW w:w="1270" w:type="dxa"/>
            <w:vAlign w:val="center"/>
          </w:tcPr>
          <w:p w14:paraId="485A3B02" w14:textId="6D8E059A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</w:t>
            </w:r>
          </w:p>
        </w:tc>
        <w:tc>
          <w:tcPr>
            <w:tcW w:w="2190" w:type="dxa"/>
            <w:vAlign w:val="center"/>
          </w:tcPr>
          <w:p w14:paraId="4896A980" w14:textId="7C79CA18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Moderate</w:t>
            </w:r>
          </w:p>
        </w:tc>
        <w:tc>
          <w:tcPr>
            <w:tcW w:w="1389" w:type="dxa"/>
            <w:vAlign w:val="center"/>
          </w:tcPr>
          <w:p w14:paraId="56F161F3" w14:textId="674B0350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Moderate</w:t>
            </w:r>
          </w:p>
        </w:tc>
        <w:tc>
          <w:tcPr>
            <w:tcW w:w="1411" w:type="dxa"/>
            <w:vAlign w:val="center"/>
          </w:tcPr>
          <w:p w14:paraId="054787F0" w14:textId="43CAF2FF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</w:t>
            </w:r>
          </w:p>
        </w:tc>
        <w:tc>
          <w:tcPr>
            <w:tcW w:w="1438" w:type="dxa"/>
            <w:vAlign w:val="center"/>
          </w:tcPr>
          <w:p w14:paraId="2436C1CE" w14:textId="5BD8FFCB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</w:t>
            </w:r>
          </w:p>
        </w:tc>
        <w:tc>
          <w:tcPr>
            <w:tcW w:w="1750" w:type="dxa"/>
            <w:vAlign w:val="center"/>
          </w:tcPr>
          <w:p w14:paraId="63B5B77A" w14:textId="2EDA02D0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</w:t>
            </w:r>
          </w:p>
        </w:tc>
        <w:tc>
          <w:tcPr>
            <w:tcW w:w="1055" w:type="dxa"/>
            <w:vAlign w:val="center"/>
          </w:tcPr>
          <w:p w14:paraId="4D4CB3A3" w14:textId="7CAAA6E6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</w:t>
            </w:r>
          </w:p>
        </w:tc>
        <w:tc>
          <w:tcPr>
            <w:tcW w:w="2591" w:type="dxa"/>
            <w:vAlign w:val="center"/>
          </w:tcPr>
          <w:p w14:paraId="129458C6" w14:textId="39D1AE61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Tactical survival management</w:t>
            </w:r>
          </w:p>
        </w:tc>
        <w:tc>
          <w:tcPr>
            <w:tcW w:w="2179" w:type="dxa"/>
            <w:vAlign w:val="center"/>
          </w:tcPr>
          <w:p w14:paraId="601E4E43" w14:textId="3C1B9D93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</w:t>
            </w:r>
          </w:p>
        </w:tc>
      </w:tr>
      <w:tr w:rsidR="00613A1E" w14:paraId="5B683FBF" w14:textId="77777777" w:rsidTr="00613A1E">
        <w:trPr>
          <w:cantSplit/>
        </w:trPr>
        <w:tc>
          <w:tcPr>
            <w:tcW w:w="1377" w:type="dxa"/>
            <w:vAlign w:val="center"/>
          </w:tcPr>
          <w:p w14:paraId="65387EDE" w14:textId="0A78DE2E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AY</w:t>
            </w:r>
          </w:p>
        </w:tc>
        <w:tc>
          <w:tcPr>
            <w:tcW w:w="1270" w:type="dxa"/>
            <w:vAlign w:val="center"/>
          </w:tcPr>
          <w:p w14:paraId="4367F7E5" w14:textId="59F05304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Moderate</w:t>
            </w:r>
          </w:p>
        </w:tc>
        <w:tc>
          <w:tcPr>
            <w:tcW w:w="2190" w:type="dxa"/>
            <w:vAlign w:val="center"/>
          </w:tcPr>
          <w:p w14:paraId="069DDF97" w14:textId="73ADA527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Implied</w:t>
            </w:r>
          </w:p>
        </w:tc>
        <w:tc>
          <w:tcPr>
            <w:tcW w:w="1389" w:type="dxa"/>
            <w:vAlign w:val="center"/>
          </w:tcPr>
          <w:p w14:paraId="71975DB3" w14:textId="67A5CE2A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Moderate</w:t>
            </w:r>
          </w:p>
        </w:tc>
        <w:tc>
          <w:tcPr>
            <w:tcW w:w="1411" w:type="dxa"/>
            <w:vAlign w:val="center"/>
          </w:tcPr>
          <w:p w14:paraId="56F27E8F" w14:textId="5EE30AFB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</w:t>
            </w:r>
          </w:p>
        </w:tc>
        <w:tc>
          <w:tcPr>
            <w:tcW w:w="1438" w:type="dxa"/>
            <w:vAlign w:val="center"/>
          </w:tcPr>
          <w:p w14:paraId="2FEE0865" w14:textId="47292456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Strong</w:t>
            </w:r>
          </w:p>
        </w:tc>
        <w:tc>
          <w:tcPr>
            <w:tcW w:w="1750" w:type="dxa"/>
            <w:vAlign w:val="center"/>
          </w:tcPr>
          <w:p w14:paraId="59C4D95D" w14:textId="1063D954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Moderate</w:t>
            </w:r>
          </w:p>
        </w:tc>
        <w:tc>
          <w:tcPr>
            <w:tcW w:w="1055" w:type="dxa"/>
            <w:vAlign w:val="center"/>
          </w:tcPr>
          <w:p w14:paraId="6FD3BA58" w14:textId="61951613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Moderate</w:t>
            </w:r>
          </w:p>
        </w:tc>
        <w:tc>
          <w:tcPr>
            <w:tcW w:w="2591" w:type="dxa"/>
            <w:vAlign w:val="center"/>
          </w:tcPr>
          <w:p w14:paraId="28A0C1F3" w14:textId="2F7CB756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Tactical livelihood management</w:t>
            </w:r>
          </w:p>
        </w:tc>
        <w:tc>
          <w:tcPr>
            <w:tcW w:w="2179" w:type="dxa"/>
            <w:vAlign w:val="center"/>
          </w:tcPr>
          <w:p w14:paraId="3A3D440B" w14:textId="5E922F50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Moderate</w:t>
            </w:r>
          </w:p>
        </w:tc>
      </w:tr>
      <w:tr w:rsidR="00613A1E" w14:paraId="6A8F14B9" w14:textId="77777777" w:rsidTr="00613A1E">
        <w:trPr>
          <w:cantSplit/>
        </w:trPr>
        <w:tc>
          <w:tcPr>
            <w:tcW w:w="1377" w:type="dxa"/>
            <w:vAlign w:val="center"/>
          </w:tcPr>
          <w:p w14:paraId="496275DA" w14:textId="292DFE6F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AF</w:t>
            </w:r>
          </w:p>
        </w:tc>
        <w:tc>
          <w:tcPr>
            <w:tcW w:w="1270" w:type="dxa"/>
            <w:vAlign w:val="center"/>
          </w:tcPr>
          <w:p w14:paraId="61500283" w14:textId="6486B127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Contextual</w:t>
            </w:r>
          </w:p>
        </w:tc>
        <w:tc>
          <w:tcPr>
            <w:tcW w:w="2190" w:type="dxa"/>
            <w:vAlign w:val="center"/>
          </w:tcPr>
          <w:p w14:paraId="557D3F05" w14:textId="1E47144A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Contextual</w:t>
            </w:r>
          </w:p>
        </w:tc>
        <w:tc>
          <w:tcPr>
            <w:tcW w:w="1389" w:type="dxa"/>
            <w:vAlign w:val="center"/>
          </w:tcPr>
          <w:p w14:paraId="40E77E14" w14:textId="27E21CAC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Contextual</w:t>
            </w:r>
          </w:p>
        </w:tc>
        <w:tc>
          <w:tcPr>
            <w:tcW w:w="1411" w:type="dxa"/>
            <w:vAlign w:val="center"/>
          </w:tcPr>
          <w:p w14:paraId="0BDCA840" w14:textId="2872B865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Contextual</w:t>
            </w:r>
          </w:p>
        </w:tc>
        <w:tc>
          <w:tcPr>
            <w:tcW w:w="1438" w:type="dxa"/>
            <w:vAlign w:val="center"/>
          </w:tcPr>
          <w:p w14:paraId="2B2F50B4" w14:textId="5418C039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Contextual</w:t>
            </w:r>
          </w:p>
        </w:tc>
        <w:tc>
          <w:tcPr>
            <w:tcW w:w="1750" w:type="dxa"/>
            <w:vAlign w:val="center"/>
          </w:tcPr>
          <w:p w14:paraId="5137DEBC" w14:textId="54933A20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Contextual</w:t>
            </w:r>
          </w:p>
        </w:tc>
        <w:tc>
          <w:tcPr>
            <w:tcW w:w="1055" w:type="dxa"/>
            <w:vAlign w:val="center"/>
          </w:tcPr>
          <w:p w14:paraId="6768A7DD" w14:textId="2F29BB49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Contextual</w:t>
            </w:r>
          </w:p>
        </w:tc>
        <w:tc>
          <w:tcPr>
            <w:tcW w:w="2591" w:type="dxa"/>
            <w:vAlign w:val="center"/>
          </w:tcPr>
          <w:p w14:paraId="34FCB3C2" w14:textId="6F02BB4E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Contextual</w:t>
            </w:r>
          </w:p>
        </w:tc>
        <w:tc>
          <w:tcPr>
            <w:tcW w:w="2179" w:type="dxa"/>
            <w:vAlign w:val="center"/>
          </w:tcPr>
          <w:p w14:paraId="5D88F796" w14:textId="56D88CBB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Not used for theme generation</w:t>
            </w:r>
          </w:p>
        </w:tc>
      </w:tr>
    </w:tbl>
    <w:p w14:paraId="38B506A8" w14:textId="77777777" w:rsidR="00613A1E" w:rsidRDefault="00613A1E" w:rsidP="00E841A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>
      <w:r>
        <w:br w:type="page"/>
      </w:r>
    </w:p>
    <w:p w14:paraId="71A07689" w14:textId="6DED03BB" w:rsidR="00E841A6" w:rsidRDefault="00E841A6" w:rsidP="00E841A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41A6">
        <w:rPr>
          <w:rFonts w:ascii="Times New Roman" w:hAnsi="Times New Roman" w:cs="Times New Roman"/>
          <w:b/>
          <w:bCs/>
          <w:sz w:val="24"/>
          <w:szCs w:val="24"/>
        </w:rPr>
        <w:t>Supplementary Table S4.</w:t>
      </w:r>
      <w:r w:rsidRPr="00613A1E">
        <w:rPr>
          <w:rFonts w:ascii="Times New Roman" w:hAnsi="Times New Roman" w:cs="Times New Roman"/>
          <w:sz w:val="24"/>
          <w:szCs w:val="24"/>
        </w:rPr>
        <w:t xml:space="preserve"> Thematic Pathway Coding: From Social Condition to Healthcare Outcome</w:t>
      </w:r>
    </w:p>
    <w:tbl>
      <w:tblPr>
        <w:tblStyle w:val="TableGrid"/>
        <w:tblW w:w="16650" w:type="dxa"/>
        <w:tblInd w:w="-13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3603"/>
        <w:gridCol w:w="2967"/>
        <w:gridCol w:w="3060"/>
        <w:gridCol w:w="3690"/>
      </w:tblGrid>
      <w:tr w:rsidR="00613A1E" w14:paraId="255B6062" w14:textId="77777777" w:rsidTr="00613A1E">
        <w:trPr>
          <w:tblHeader w:val="true"/>
          <w:cantSplit/>
        </w:trPr>
        <w:tc>
          <w:tcPr>
            <w:tcW w:w="3330" w:type="dxa"/>
            <w:vAlign w:val="center"/>
          </w:tcPr>
          <w:p w14:paraId="539A57EF" w14:textId="13261165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Stage</w:t>
            </w:r>
          </w:p>
        </w:tc>
        <w:tc>
          <w:tcPr>
            <w:tcW w:w="3603" w:type="dxa"/>
            <w:vAlign w:val="center"/>
          </w:tcPr>
          <w:p w14:paraId="632C5373" w14:textId="36760DA8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Empirical Condition</w:t>
            </w:r>
          </w:p>
        </w:tc>
        <w:tc>
          <w:tcPr>
            <w:tcW w:w="2967" w:type="dxa"/>
            <w:vAlign w:val="center"/>
          </w:tcPr>
          <w:p w14:paraId="368A44A2" w14:textId="69F6C82F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Mechanism</w:t>
            </w:r>
          </w:p>
        </w:tc>
        <w:tc>
          <w:tcPr>
            <w:tcW w:w="3060" w:type="dxa"/>
            <w:vAlign w:val="center"/>
          </w:tcPr>
          <w:p w14:paraId="7177DD3B" w14:textId="3B6AB154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Intermediate Effect</w:t>
            </w:r>
          </w:p>
        </w:tc>
        <w:tc>
          <w:tcPr>
            <w:tcW w:w="3690" w:type="dxa"/>
            <w:vAlign w:val="center"/>
          </w:tcPr>
          <w:p w14:paraId="1E6F0D3B" w14:textId="0721BFD5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Healthcare Access Consequence</w:t>
            </w:r>
          </w:p>
        </w:tc>
      </w:tr>
      <w:tr w:rsidR="00613A1E" w14:paraId="1FC434D8" w14:textId="77777777" w:rsidTr="00613A1E">
        <w:trPr>
          <w:cantSplit/>
        </w:trPr>
        <w:tc>
          <w:tcPr>
            <w:tcW w:w="3330" w:type="dxa"/>
            <w:vAlign w:val="center"/>
          </w:tcPr>
          <w:p w14:paraId="3D8D622C" w14:textId="34C8F977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1. Daily social environment</w:t>
            </w:r>
          </w:p>
        </w:tc>
        <w:tc>
          <w:tcPr>
            <w:tcW w:w="3603" w:type="dxa"/>
            <w:vAlign w:val="center"/>
          </w:tcPr>
          <w:p w14:paraId="73FC1244" w14:textId="1D170EB8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Stigma, rejection, verbal judgment, fragile acceptance</w:t>
            </w:r>
          </w:p>
        </w:tc>
        <w:tc>
          <w:tcPr>
            <w:tcW w:w="2967" w:type="dxa"/>
            <w:vAlign w:val="center"/>
          </w:tcPr>
          <w:p w14:paraId="2855A434" w14:textId="189C5D12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Participants learn that public spaces may be unsafe</w:t>
            </w:r>
          </w:p>
        </w:tc>
        <w:tc>
          <w:tcPr>
            <w:tcW w:w="3060" w:type="dxa"/>
            <w:vAlign w:val="center"/>
          </w:tcPr>
          <w:p w14:paraId="78892F23" w14:textId="41AB462B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Heightened vigilance</w:t>
            </w:r>
          </w:p>
        </w:tc>
        <w:tc>
          <w:tcPr>
            <w:tcW w:w="3690" w:type="dxa"/>
            <w:vAlign w:val="center"/>
          </w:tcPr>
          <w:p w14:paraId="41E24029" w14:textId="62AFB629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Healthcare is approached with caution before any clinical interaction</w:t>
            </w:r>
          </w:p>
        </w:tc>
      </w:tr>
      <w:tr w:rsidR="00613A1E" w14:paraId="29EED45E" w14:textId="77777777" w:rsidTr="00613A1E">
        <w:trPr>
          <w:cantSplit/>
        </w:trPr>
        <w:tc>
          <w:tcPr>
            <w:tcW w:w="3330" w:type="dxa"/>
            <w:vAlign w:val="center"/>
          </w:tcPr>
          <w:p w14:paraId="452C150A" w14:textId="09EC3B3C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2. Identity-related pressure</w:t>
            </w:r>
          </w:p>
        </w:tc>
        <w:tc>
          <w:tcPr>
            <w:tcW w:w="3603" w:type="dxa"/>
            <w:vAlign w:val="center"/>
          </w:tcPr>
          <w:p w14:paraId="473000EA" w14:textId="46A91555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Demand to conform to male identity or justify gender expression</w:t>
            </w:r>
          </w:p>
        </w:tc>
        <w:tc>
          <w:tcPr>
            <w:tcW w:w="2967" w:type="dxa"/>
            <w:vAlign w:val="center"/>
          </w:tcPr>
          <w:p w14:paraId="179FFA82" w14:textId="5FA441FB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Identity becomes treated as a social problem</w:t>
            </w:r>
          </w:p>
        </w:tc>
        <w:tc>
          <w:tcPr>
            <w:tcW w:w="3060" w:type="dxa"/>
            <w:vAlign w:val="center"/>
          </w:tcPr>
          <w:p w14:paraId="6F5A1D79" w14:textId="3B842DCC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Fear of correction or humiliation</w:t>
            </w:r>
          </w:p>
        </w:tc>
        <w:tc>
          <w:tcPr>
            <w:tcW w:w="3690" w:type="dxa"/>
            <w:vAlign w:val="center"/>
          </w:tcPr>
          <w:p w14:paraId="6F299966" w14:textId="58DDCF5D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Participants anticipate similar treatment in healthcare settings</w:t>
            </w:r>
          </w:p>
        </w:tc>
      </w:tr>
      <w:tr w:rsidR="00613A1E" w14:paraId="3AB98B36" w14:textId="77777777" w:rsidTr="00613A1E">
        <w:trPr>
          <w:cantSplit/>
        </w:trPr>
        <w:tc>
          <w:tcPr>
            <w:tcW w:w="3330" w:type="dxa"/>
            <w:vAlign w:val="center"/>
          </w:tcPr>
          <w:p w14:paraId="4A55ECCB" w14:textId="5068FDF9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3. Economic survival</w:t>
            </w:r>
          </w:p>
        </w:tc>
        <w:tc>
          <w:tcPr>
            <w:tcW w:w="3603" w:type="dxa"/>
            <w:vAlign w:val="center"/>
          </w:tcPr>
          <w:p w14:paraId="5D6A0EFF" w14:textId="66E41578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Rent, family remittance, unstable work, lack of savings</w:t>
            </w:r>
          </w:p>
        </w:tc>
        <w:tc>
          <w:tcPr>
            <w:tcW w:w="2967" w:type="dxa"/>
            <w:vAlign w:val="center"/>
          </w:tcPr>
          <w:p w14:paraId="48CE3204" w14:textId="57187888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Immediate needs outrank health needs</w:t>
            </w:r>
          </w:p>
        </w:tc>
        <w:tc>
          <w:tcPr>
            <w:tcW w:w="3060" w:type="dxa"/>
            <w:vAlign w:val="center"/>
          </w:tcPr>
          <w:p w14:paraId="29619414" w14:textId="60D4CE60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Reduced time, money, and autonomy</w:t>
            </w:r>
          </w:p>
        </w:tc>
        <w:tc>
          <w:tcPr>
            <w:tcW w:w="3690" w:type="dxa"/>
            <w:vAlign w:val="center"/>
          </w:tcPr>
          <w:p w14:paraId="1F7A87D4" w14:textId="5EFE11F7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Care is delayed or sought only when urgent</w:t>
            </w:r>
          </w:p>
        </w:tc>
      </w:tr>
      <w:tr w:rsidR="00613A1E" w14:paraId="60968F75" w14:textId="77777777" w:rsidTr="00613A1E">
        <w:trPr>
          <w:cantSplit/>
        </w:trPr>
        <w:tc>
          <w:tcPr>
            <w:tcW w:w="3330" w:type="dxa"/>
            <w:vAlign w:val="center"/>
          </w:tcPr>
          <w:p w14:paraId="7B1E5D1F" w14:textId="54040972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4. Service anticipation</w:t>
            </w:r>
          </w:p>
        </w:tc>
        <w:tc>
          <w:tcPr>
            <w:tcW w:w="3603" w:type="dxa"/>
            <w:vAlign w:val="center"/>
          </w:tcPr>
          <w:p w14:paraId="56E76B8A" w14:textId="39EB36A7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Expected judgment, disrespect, privacy breach</w:t>
            </w:r>
          </w:p>
        </w:tc>
        <w:tc>
          <w:tcPr>
            <w:tcW w:w="2967" w:type="dxa"/>
            <w:vAlign w:val="center"/>
          </w:tcPr>
          <w:p w14:paraId="071581F3" w14:textId="0F9C6F26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Services are perceived as risky rather than neutral</w:t>
            </w:r>
          </w:p>
        </w:tc>
        <w:tc>
          <w:tcPr>
            <w:tcW w:w="3060" w:type="dxa"/>
            <w:vAlign w:val="center"/>
          </w:tcPr>
          <w:p w14:paraId="5F270192" w14:textId="7F60CD68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Institutional mistrust</w:t>
            </w:r>
          </w:p>
        </w:tc>
        <w:tc>
          <w:tcPr>
            <w:tcW w:w="3690" w:type="dxa"/>
            <w:vAlign w:val="center"/>
          </w:tcPr>
          <w:p w14:paraId="76742403" w14:textId="3FB50F5C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Available services are not automatically accessible</w:t>
            </w:r>
          </w:p>
        </w:tc>
      </w:tr>
      <w:tr w:rsidR="00613A1E" w14:paraId="5E3FFF7B" w14:textId="77777777" w:rsidTr="00613A1E">
        <w:trPr>
          <w:cantSplit/>
        </w:trPr>
        <w:tc>
          <w:tcPr>
            <w:tcW w:w="3330" w:type="dxa"/>
            <w:vAlign w:val="center"/>
          </w:tcPr>
          <w:p w14:paraId="0B0A6BD3" w14:textId="201B0A93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5. Identity management</w:t>
            </w:r>
          </w:p>
        </w:tc>
        <w:tc>
          <w:tcPr>
            <w:tcW w:w="3603" w:type="dxa"/>
            <w:vAlign w:val="center"/>
          </w:tcPr>
          <w:p w14:paraId="29D73BD8" w14:textId="48716E30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Selective disclosure, silence, reliance on trusted people, self-assertion</w:t>
            </w:r>
          </w:p>
        </w:tc>
        <w:tc>
          <w:tcPr>
            <w:tcW w:w="2967" w:type="dxa"/>
            <w:vAlign w:val="center"/>
          </w:tcPr>
          <w:p w14:paraId="411F9E2B" w14:textId="429CF789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Participants reduce exposure to stigma</w:t>
            </w:r>
          </w:p>
        </w:tc>
        <w:tc>
          <w:tcPr>
            <w:tcW w:w="3060" w:type="dxa"/>
            <w:vAlign w:val="center"/>
          </w:tcPr>
          <w:p w14:paraId="7503A325" w14:textId="1AD12348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Conditional approach to care</w:t>
            </w:r>
          </w:p>
        </w:tc>
        <w:tc>
          <w:tcPr>
            <w:tcW w:w="3690" w:type="dxa"/>
            <w:vAlign w:val="center"/>
          </w:tcPr>
          <w:p w14:paraId="2796C63E" w14:textId="644332D5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Care-seeking becomes selective and risk-calculated</w:t>
            </w:r>
          </w:p>
        </w:tc>
      </w:tr>
      <w:tr w:rsidR="00613A1E" w14:paraId="6CE71C46" w14:textId="77777777" w:rsidTr="00613A1E">
        <w:trPr>
          <w:cantSplit/>
        </w:trPr>
        <w:tc>
          <w:tcPr>
            <w:tcW w:w="3330" w:type="dxa"/>
            <w:vAlign w:val="center"/>
          </w:tcPr>
          <w:p w14:paraId="5838EC0C" w14:textId="0101FFA2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6. Outcome</w:t>
            </w:r>
          </w:p>
        </w:tc>
        <w:tc>
          <w:tcPr>
            <w:tcW w:w="3603" w:type="dxa"/>
            <w:vAlign w:val="center"/>
          </w:tcPr>
          <w:p w14:paraId="1AC46473" w14:textId="44B88CB1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Combined stigma, poverty, and unsafe service perception</w:t>
            </w:r>
          </w:p>
        </w:tc>
        <w:tc>
          <w:tcPr>
            <w:tcW w:w="2967" w:type="dxa"/>
            <w:vAlign w:val="center"/>
          </w:tcPr>
          <w:p w14:paraId="7B4E4C51" w14:textId="76FA4DE5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Multiple barriers accumulate</w:t>
            </w:r>
          </w:p>
        </w:tc>
        <w:tc>
          <w:tcPr>
            <w:tcW w:w="3060" w:type="dxa"/>
            <w:vAlign w:val="center"/>
          </w:tcPr>
          <w:p w14:paraId="05D2B6A4" w14:textId="7B8B4F8F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Constrained access</w:t>
            </w:r>
          </w:p>
        </w:tc>
        <w:tc>
          <w:tcPr>
            <w:tcW w:w="3690" w:type="dxa"/>
            <w:vAlign w:val="center"/>
          </w:tcPr>
          <w:p w14:paraId="7FB564C0" w14:textId="2A782D71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Delayed, selective, or avoided healthcare</w:t>
            </w:r>
          </w:p>
        </w:tc>
      </w:tr>
    </w:tbl>
    <w:p w14:paraId="11900DD2" w14:textId="5F7411B4" w:rsidR="00E841A6" w:rsidRPr="00E841A6" w:rsidRDefault="00E841A6" w:rsidP="00E841A6"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r>
        <w:br w:type="page"/>
      </w:r>
    </w:p>
    <w:p w14:paraId="5E6EE4B0" w14:textId="77777777" w:rsidR="00E841A6" w:rsidRDefault="00E841A6" w:rsidP="00E84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41A6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S5. </w:t>
      </w:r>
      <w:r w:rsidRPr="00613A1E">
        <w:rPr>
          <w:rFonts w:ascii="Times New Roman" w:hAnsi="Times New Roman" w:cs="Times New Roman"/>
          <w:sz w:val="24"/>
          <w:szCs w:val="24"/>
        </w:rPr>
        <w:t>High-Level Analytical Themes for Manuscript Supplement</w:t>
      </w:r>
    </w:p>
    <w:tbl>
      <w:tblPr>
        <w:tblStyle w:val="TableGrid"/>
        <w:tblW w:w="16560" w:type="dxa"/>
        <w:tblInd w:w="-126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4369"/>
        <w:gridCol w:w="3911"/>
        <w:gridCol w:w="4410"/>
      </w:tblGrid>
      <w:tr w:rsidR="00613A1E" w14:paraId="55693385" w14:textId="77777777" w:rsidTr="00613A1E">
        <w:trPr>
          <w:tblHeader w:val="true"/>
          <w:cantSplit/>
        </w:trPr>
        <w:tc>
          <w:tcPr>
            <w:tcW w:w="3870" w:type="dxa"/>
            <w:vAlign w:val="center"/>
          </w:tcPr>
          <w:p w14:paraId="381F1921" w14:textId="421C6483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Final Theme</w:t>
            </w:r>
          </w:p>
        </w:tc>
        <w:tc>
          <w:tcPr>
            <w:tcW w:w="4369" w:type="dxa"/>
            <w:vAlign w:val="center"/>
          </w:tcPr>
          <w:p w14:paraId="1C13CA93" w14:textId="5648D725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Core Claim</w:t>
            </w:r>
          </w:p>
        </w:tc>
        <w:tc>
          <w:tcPr>
            <w:tcW w:w="3911" w:type="dxa"/>
            <w:vAlign w:val="center"/>
          </w:tcPr>
          <w:p w14:paraId="3E4F3D19" w14:textId="43729350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Supporting Codes</w:t>
            </w:r>
          </w:p>
        </w:tc>
        <w:tc>
          <w:tcPr>
            <w:tcW w:w="4410" w:type="dxa"/>
            <w:vAlign w:val="center"/>
          </w:tcPr>
          <w:p w14:paraId="00E7BDCE" w14:textId="1D8A3AFB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Recommended Manuscript Language</w:t>
            </w:r>
          </w:p>
        </w:tc>
      </w:tr>
      <w:tr w:rsidR="00613A1E" w14:paraId="66C75ED2" w14:textId="77777777" w:rsidTr="00613A1E">
        <w:trPr>
          <w:cantSplit/>
        </w:trPr>
        <w:tc>
          <w:tcPr>
            <w:tcW w:w="3870" w:type="dxa"/>
            <w:vAlign w:val="center"/>
          </w:tcPr>
          <w:p w14:paraId="3FEA4B30" w14:textId="5B057DA2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Theme 1: Social exclusion precedes healthcare access</w:t>
            </w:r>
          </w:p>
        </w:tc>
        <w:tc>
          <w:tcPr>
            <w:tcW w:w="4369" w:type="dxa"/>
            <w:vAlign w:val="center"/>
          </w:tcPr>
          <w:p w14:paraId="1A533586" w14:textId="7CB19081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Barriers begin before contact with health services because participants already experience judgment, correction, and unstable acceptance in daily life.</w:t>
            </w:r>
          </w:p>
        </w:tc>
        <w:tc>
          <w:tcPr>
            <w:tcW w:w="3911" w:type="dxa"/>
            <w:vAlign w:val="center"/>
          </w:tcPr>
          <w:p w14:paraId="05391B4B" w14:textId="4301B134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Gender correction pressure; fragile acceptance; verbal judgment; social insecurity</w:t>
            </w:r>
          </w:p>
        </w:tc>
        <w:tc>
          <w:tcPr>
            <w:tcW w:w="4410" w:type="dxa"/>
            <w:vAlign w:val="center"/>
          </w:tcPr>
          <w:p w14:paraId="7AD8B5E7" w14:textId="32F7F9F9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“Healthcare access emerged not only as a service-level issue but also as a social threshold shaped by prior experiences of stigma and rejection.”</w:t>
            </w:r>
          </w:p>
        </w:tc>
      </w:tr>
      <w:tr w:rsidR="00613A1E" w14:paraId="58E39472" w14:textId="77777777" w:rsidTr="00613A1E">
        <w:trPr>
          <w:cantSplit/>
        </w:trPr>
        <w:tc>
          <w:tcPr>
            <w:tcW w:w="3870" w:type="dxa"/>
            <w:vAlign w:val="center"/>
          </w:tcPr>
          <w:p w14:paraId="098D7A88" w14:textId="6E3D9661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Theme 2: Precarious livelihood limits care-seeking capacity</w:t>
            </w:r>
          </w:p>
        </w:tc>
        <w:tc>
          <w:tcPr>
            <w:tcW w:w="4369" w:type="dxa"/>
            <w:vAlign w:val="center"/>
          </w:tcPr>
          <w:p w14:paraId="13A25786" w14:textId="4BBEE7AC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Participants may recognize health needs but lack the financial stability, time, and autonomy to seek care consistently.</w:t>
            </w:r>
          </w:p>
        </w:tc>
        <w:tc>
          <w:tcPr>
            <w:tcW w:w="3911" w:type="dxa"/>
            <w:vAlign w:val="center"/>
          </w:tcPr>
          <w:p w14:paraId="56047849" w14:textId="75CA82A1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Rent burden; family remittance; informal work; income instability; survival priority</w:t>
            </w:r>
          </w:p>
        </w:tc>
        <w:tc>
          <w:tcPr>
            <w:tcW w:w="4410" w:type="dxa"/>
            <w:vAlign w:val="center"/>
          </w:tcPr>
          <w:p w14:paraId="048762BD" w14:textId="75024FD3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“Economic precarity transformed healthcare from a routine entitlement into a competing priority against daily survival needs.”</w:t>
            </w:r>
          </w:p>
        </w:tc>
      </w:tr>
      <w:tr w:rsidR="00613A1E" w14:paraId="6E2A2400" w14:textId="77777777" w:rsidTr="00613A1E">
        <w:trPr>
          <w:cantSplit/>
        </w:trPr>
        <w:tc>
          <w:tcPr>
            <w:tcW w:w="3870" w:type="dxa"/>
            <w:vAlign w:val="center"/>
          </w:tcPr>
          <w:p w14:paraId="2DC2C490" w14:textId="74BD3CDF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Theme 3: Anticipated discrimination makes services unsafe</w:t>
            </w:r>
          </w:p>
        </w:tc>
        <w:tc>
          <w:tcPr>
            <w:tcW w:w="4369" w:type="dxa"/>
            <w:vAlign w:val="center"/>
          </w:tcPr>
          <w:p w14:paraId="23FB986A" w14:textId="1AD53485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Participants approached services with fear of moral judgment, humiliation, disrespect, and privacy breaches.</w:t>
            </w:r>
          </w:p>
        </w:tc>
        <w:tc>
          <w:tcPr>
            <w:tcW w:w="3911" w:type="dxa"/>
            <w:vAlign w:val="center"/>
          </w:tcPr>
          <w:p w14:paraId="0612D4A8" w14:textId="004C8F63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Anticipated humiliation; service mistrust; privacy risk; waiting-room insecurity</w:t>
            </w:r>
          </w:p>
        </w:tc>
        <w:tc>
          <w:tcPr>
            <w:tcW w:w="4410" w:type="dxa"/>
            <w:vAlign w:val="center"/>
          </w:tcPr>
          <w:p w14:paraId="1B74E2B6" w14:textId="14257DDE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“Institutional barriers were not limited to documented provider discrimination; anticipated mistreatment itself restricted access.”</w:t>
            </w:r>
          </w:p>
        </w:tc>
      </w:tr>
      <w:tr w:rsidR="00613A1E" w14:paraId="1CCB4584" w14:textId="77777777" w:rsidTr="00613A1E">
        <w:trPr>
          <w:cantSplit/>
        </w:trPr>
        <w:tc>
          <w:tcPr>
            <w:tcW w:w="3870" w:type="dxa"/>
            <w:vAlign w:val="center"/>
          </w:tcPr>
          <w:p w14:paraId="61B40391" w14:textId="7D5A6A43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Theme 4: Identity management functions as survival practice</w:t>
            </w:r>
          </w:p>
        </w:tc>
        <w:tc>
          <w:tcPr>
            <w:tcW w:w="4369" w:type="dxa"/>
            <w:vAlign w:val="center"/>
          </w:tcPr>
          <w:p w14:paraId="51F9BD59" w14:textId="10AB98E4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Participants managed visibility, disclosure, silence, and trusted relationships to reduce exposure to stigma.</w:t>
            </w:r>
          </w:p>
        </w:tc>
        <w:tc>
          <w:tcPr>
            <w:tcW w:w="3911" w:type="dxa"/>
            <w:vAlign w:val="center"/>
          </w:tcPr>
          <w:p w14:paraId="74E1D9D8" w14:textId="221514F5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Assertive identity management; tactical disclosure; relational safety-seeking; livelihood visibility management</w:t>
            </w:r>
          </w:p>
        </w:tc>
        <w:tc>
          <w:tcPr>
            <w:tcW w:w="4410" w:type="dxa"/>
            <w:vAlign w:val="center"/>
          </w:tcPr>
          <w:p w14:paraId="176F1D7F" w14:textId="1DD1C257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“Identity management operated as a practical survival strategy in environments where recognition and safety were uncertain.”</w:t>
            </w:r>
          </w:p>
        </w:tc>
      </w:tr>
      <w:tr w:rsidR="00613A1E" w14:paraId="306EE93B" w14:textId="77777777" w:rsidTr="00613A1E">
        <w:trPr>
          <w:cantSplit/>
        </w:trPr>
        <w:tc>
          <w:tcPr>
            <w:tcW w:w="3870" w:type="dxa"/>
            <w:vAlign w:val="center"/>
          </w:tcPr>
          <w:p w14:paraId="3D368B28" w14:textId="13193416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Theme 5: Safe access requires respectful first contact</w:t>
            </w:r>
          </w:p>
        </w:tc>
        <w:tc>
          <w:tcPr>
            <w:tcW w:w="4369" w:type="dxa"/>
            <w:vAlign w:val="center"/>
          </w:tcPr>
          <w:p w14:paraId="70854BD4" w14:textId="48EFF779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Access depends on whether services protect dignity, confidentiality, and nonjudgmental communication from the beginning.</w:t>
            </w:r>
          </w:p>
        </w:tc>
        <w:tc>
          <w:tcPr>
            <w:tcW w:w="3911" w:type="dxa"/>
            <w:vAlign w:val="center"/>
          </w:tcPr>
          <w:p w14:paraId="44BAFD1A" w14:textId="38F5C1BD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Safe intake; respectful greeting; non-corrective communication; confidentiality; safe referral</w:t>
            </w:r>
          </w:p>
        </w:tc>
        <w:tc>
          <w:tcPr>
            <w:tcW w:w="4410" w:type="dxa"/>
            <w:vAlign w:val="center"/>
          </w:tcPr>
          <w:p w14:paraId="548C964D" w14:textId="47162EE6" w:rsidR="00613A1E" w:rsidRDefault="00613A1E" w:rsidP="0061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“Service entry points should be redesigned to reduce social risk from the first interaction.”</w:t>
            </w:r>
          </w:p>
        </w:tc>
      </w:tr>
    </w:tbl>
    <w:p w14:paraId="051F26E8" w14:textId="2E57AB68" w:rsidR="00E841A6" w:rsidRPr="00E841A6" w:rsidRDefault="00E841A6" w:rsidP="00E841A6"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r>
        <w:br w:type="page"/>
      </w:r>
    </w:p>
    <w:p w14:paraId="17245785" w14:textId="77777777" w:rsidR="00E841A6" w:rsidRDefault="00E841A6" w:rsidP="00E84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41A6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S6. </w:t>
      </w:r>
      <w:r w:rsidRPr="00613A1E">
        <w:rPr>
          <w:rFonts w:ascii="Times New Roman" w:hAnsi="Times New Roman" w:cs="Times New Roman"/>
          <w:sz w:val="24"/>
          <w:szCs w:val="24"/>
        </w:rPr>
        <w:t>Condensed Coding Tree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4230"/>
        <w:gridCol w:w="7203"/>
      </w:tblGrid>
      <w:tr w:rsidR="00613A1E" w14:paraId="3B4AE774" w14:textId="77777777" w:rsidTr="00613A1E">
        <w:trPr>
          <w:tblHeader w:val="true"/>
          <w:cantSplit/>
        </w:trPr>
        <w:tc>
          <w:tcPr>
            <w:tcW w:w="2515" w:type="dxa"/>
            <w:vAlign w:val="center"/>
          </w:tcPr>
          <w:p w14:paraId="6C6815B8" w14:textId="09587308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Level 1: Core Domain</w:t>
            </w:r>
          </w:p>
        </w:tc>
        <w:tc>
          <w:tcPr>
            <w:tcW w:w="4230" w:type="dxa"/>
            <w:vAlign w:val="center"/>
          </w:tcPr>
          <w:p w14:paraId="70162582" w14:textId="2141A7FD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Level 2: Category</w:t>
            </w:r>
          </w:p>
        </w:tc>
        <w:tc>
          <w:tcPr>
            <w:tcW w:w="7203" w:type="dxa"/>
            <w:vAlign w:val="center"/>
          </w:tcPr>
          <w:p w14:paraId="1CA9DB33" w14:textId="6ED66395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Level 3: Codes</w:t>
            </w:r>
          </w:p>
        </w:tc>
      </w:tr>
      <w:tr w:rsidR="00613A1E" w14:paraId="4BD159BA" w14:textId="77777777" w:rsidTr="00613A1E">
        <w:trPr>
          <w:cantSplit/>
        </w:trPr>
        <w:tc>
          <w:tcPr>
            <w:tcW w:w="2515" w:type="dxa"/>
            <w:vMerge w:val="restart"/>
            <w:vAlign w:val="center"/>
          </w:tcPr>
          <w:p w14:paraId="439E2242" w14:textId="0659E53B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Social barriers</w:t>
            </w:r>
          </w:p>
        </w:tc>
        <w:tc>
          <w:tcPr>
            <w:tcW w:w="4230" w:type="dxa"/>
            <w:vAlign w:val="center"/>
          </w:tcPr>
          <w:p w14:paraId="24952501" w14:textId="5E399FFD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Social exclusion</w:t>
            </w:r>
          </w:p>
        </w:tc>
        <w:tc>
          <w:tcPr>
            <w:tcW w:w="7203" w:type="dxa"/>
            <w:vAlign w:val="center"/>
          </w:tcPr>
          <w:p w14:paraId="08B967D7" w14:textId="63BB9702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Stigma; rejection; verbal judgment; fragile acceptance</w:t>
            </w:r>
          </w:p>
        </w:tc>
      </w:tr>
      <w:tr w:rsidR="00613A1E" w14:paraId="6B9546D6" w14:textId="77777777" w:rsidTr="00613A1E">
        <w:trPr>
          <w:cantSplit/>
        </w:trPr>
        <w:tc>
          <w:tcPr>
            <w:tcW w:w="2515" w:type="dxa"/>
            <w:vMerge/>
            <w:vAlign w:val="center"/>
          </w:tcPr>
          <w:p w14:paraId="396C1E5F" w14:textId="07070898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  <w:vAlign w:val="center"/>
          </w:tcPr>
          <w:p w14:paraId="03D5E846" w14:textId="597CDBE6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Gender normativity</w:t>
            </w:r>
          </w:p>
        </w:tc>
        <w:tc>
          <w:tcPr>
            <w:tcW w:w="7203" w:type="dxa"/>
            <w:vAlign w:val="center"/>
          </w:tcPr>
          <w:p w14:paraId="403C7D07" w14:textId="260CD95A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Pressure to become a “man”; identity correction; moral scrutiny</w:t>
            </w:r>
          </w:p>
        </w:tc>
      </w:tr>
      <w:tr w:rsidR="00613A1E" w14:paraId="61CAA3A3" w14:textId="77777777" w:rsidTr="00613A1E">
        <w:trPr>
          <w:cantSplit/>
        </w:trPr>
        <w:tc>
          <w:tcPr>
            <w:tcW w:w="2515" w:type="dxa"/>
            <w:vMerge w:val="restart"/>
            <w:vAlign w:val="center"/>
          </w:tcPr>
          <w:p w14:paraId="58CB8304" w14:textId="1C6AF7C2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Economic barriers</w:t>
            </w:r>
          </w:p>
        </w:tc>
        <w:tc>
          <w:tcPr>
            <w:tcW w:w="4230" w:type="dxa"/>
            <w:vAlign w:val="center"/>
          </w:tcPr>
          <w:p w14:paraId="126E1349" w14:textId="1E1B6B74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Livelihood precarity</w:t>
            </w:r>
          </w:p>
        </w:tc>
        <w:tc>
          <w:tcPr>
            <w:tcW w:w="7203" w:type="dxa"/>
            <w:vAlign w:val="center"/>
          </w:tcPr>
          <w:p w14:paraId="23E6A167" w14:textId="1CF61284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Rent burden; unstable income; informal work; limited alternatives</w:t>
            </w:r>
          </w:p>
        </w:tc>
      </w:tr>
      <w:tr w:rsidR="00613A1E" w14:paraId="2FA00C1B" w14:textId="77777777" w:rsidTr="00613A1E">
        <w:trPr>
          <w:cantSplit/>
        </w:trPr>
        <w:tc>
          <w:tcPr>
            <w:tcW w:w="2515" w:type="dxa"/>
            <w:vMerge/>
            <w:vAlign w:val="center"/>
          </w:tcPr>
          <w:p w14:paraId="35F49F66" w14:textId="1B7706A9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  <w:vAlign w:val="center"/>
          </w:tcPr>
          <w:p w14:paraId="0493D736" w14:textId="202B4D4E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Survival prioritization</w:t>
            </w:r>
          </w:p>
        </w:tc>
        <w:tc>
          <w:tcPr>
            <w:tcW w:w="7203" w:type="dxa"/>
            <w:vAlign w:val="center"/>
          </w:tcPr>
          <w:p w14:paraId="36B3ED36" w14:textId="38417397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Family remittance; lack of savings; postponement of health needs</w:t>
            </w:r>
          </w:p>
        </w:tc>
      </w:tr>
      <w:tr w:rsidR="00613A1E" w14:paraId="79246D7B" w14:textId="77777777" w:rsidTr="00613A1E">
        <w:trPr>
          <w:cantSplit/>
        </w:trPr>
        <w:tc>
          <w:tcPr>
            <w:tcW w:w="2515" w:type="dxa"/>
            <w:vMerge w:val="restart"/>
            <w:vAlign w:val="center"/>
          </w:tcPr>
          <w:p w14:paraId="29FD3955" w14:textId="621A8A89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Institutional barriers</w:t>
            </w:r>
          </w:p>
        </w:tc>
        <w:tc>
          <w:tcPr>
            <w:tcW w:w="4230" w:type="dxa"/>
            <w:vAlign w:val="center"/>
          </w:tcPr>
          <w:p w14:paraId="728D3D54" w14:textId="0579BAF4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Anticipated discrimination</w:t>
            </w:r>
          </w:p>
        </w:tc>
        <w:tc>
          <w:tcPr>
            <w:tcW w:w="7203" w:type="dxa"/>
            <w:vAlign w:val="center"/>
          </w:tcPr>
          <w:p w14:paraId="2F76BC59" w14:textId="2A05C94E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Fear of humiliation; moral judgment; disrespectful treatment</w:t>
            </w:r>
          </w:p>
        </w:tc>
      </w:tr>
      <w:tr w:rsidR="00613A1E" w14:paraId="39FB523A" w14:textId="77777777" w:rsidTr="00613A1E">
        <w:trPr>
          <w:cantSplit/>
        </w:trPr>
        <w:tc>
          <w:tcPr>
            <w:tcW w:w="2515" w:type="dxa"/>
            <w:vMerge/>
            <w:vAlign w:val="center"/>
          </w:tcPr>
          <w:p w14:paraId="05890F02" w14:textId="5CCBF70D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  <w:vAlign w:val="center"/>
          </w:tcPr>
          <w:p w14:paraId="761174FF" w14:textId="50D71520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Privacy and confidentiality risk</w:t>
            </w:r>
          </w:p>
        </w:tc>
        <w:tc>
          <w:tcPr>
            <w:tcW w:w="7203" w:type="dxa"/>
            <w:vAlign w:val="center"/>
          </w:tcPr>
          <w:p w14:paraId="16C26076" w14:textId="66524783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Fear of exposure; unsafe intake; gossip; uncontrolled disclosure</w:t>
            </w:r>
          </w:p>
        </w:tc>
      </w:tr>
      <w:tr w:rsidR="00613A1E" w14:paraId="425C1AA4" w14:textId="77777777" w:rsidTr="00613A1E">
        <w:trPr>
          <w:cantSplit/>
        </w:trPr>
        <w:tc>
          <w:tcPr>
            <w:tcW w:w="2515" w:type="dxa"/>
            <w:vAlign w:val="center"/>
          </w:tcPr>
          <w:p w14:paraId="798E6038" w14:textId="7D8E5317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Interactional strategies</w:t>
            </w:r>
          </w:p>
        </w:tc>
        <w:tc>
          <w:tcPr>
            <w:tcW w:w="4230" w:type="dxa"/>
            <w:vAlign w:val="center"/>
          </w:tcPr>
          <w:p w14:paraId="660E4CC9" w14:textId="581685C7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Identity management</w:t>
            </w:r>
          </w:p>
        </w:tc>
        <w:tc>
          <w:tcPr>
            <w:tcW w:w="7203" w:type="dxa"/>
            <w:vAlign w:val="center"/>
          </w:tcPr>
          <w:p w14:paraId="4DA4B261" w14:textId="7316F6D6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Selective disclosure; silence; self-assertion; reliance on trusted ties</w:t>
            </w:r>
          </w:p>
        </w:tc>
      </w:tr>
      <w:tr w:rsidR="00613A1E" w14:paraId="12F64DD1" w14:textId="77777777" w:rsidTr="00613A1E">
        <w:trPr>
          <w:cantSplit/>
        </w:trPr>
        <w:tc>
          <w:tcPr>
            <w:tcW w:w="2515" w:type="dxa"/>
            <w:vAlign w:val="center"/>
          </w:tcPr>
          <w:p w14:paraId="6276D287" w14:textId="53085DE3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Service expectations</w:t>
            </w:r>
          </w:p>
        </w:tc>
        <w:tc>
          <w:tcPr>
            <w:tcW w:w="4230" w:type="dxa"/>
            <w:vAlign w:val="center"/>
          </w:tcPr>
          <w:p w14:paraId="037773CA" w14:textId="0306A7E8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Minimum conditions for access</w:t>
            </w:r>
          </w:p>
        </w:tc>
        <w:tc>
          <w:tcPr>
            <w:tcW w:w="7203" w:type="dxa"/>
            <w:vAlign w:val="center"/>
          </w:tcPr>
          <w:p w14:paraId="18A1D1B2" w14:textId="31642BF9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Respect; confidentiality; nonjudgmental communication; safe referral</w:t>
            </w:r>
          </w:p>
        </w:tc>
      </w:tr>
      <w:tr w:rsidR="00613A1E" w14:paraId="069A576A" w14:textId="77777777" w:rsidTr="00613A1E">
        <w:trPr>
          <w:cantSplit/>
        </w:trPr>
        <w:tc>
          <w:tcPr>
            <w:tcW w:w="2515" w:type="dxa"/>
            <w:vAlign w:val="center"/>
          </w:tcPr>
          <w:p w14:paraId="0E140E97" w14:textId="6AF7CE3E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Outcomes</w:t>
            </w:r>
          </w:p>
        </w:tc>
        <w:tc>
          <w:tcPr>
            <w:tcW w:w="4230" w:type="dxa"/>
            <w:vAlign w:val="center"/>
          </w:tcPr>
          <w:p w14:paraId="32806B28" w14:textId="3FB008C0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Restricted access</w:t>
            </w:r>
          </w:p>
        </w:tc>
        <w:tc>
          <w:tcPr>
            <w:tcW w:w="7203" w:type="dxa"/>
            <w:vAlign w:val="center"/>
          </w:tcPr>
          <w:p w14:paraId="039BAF22" w14:textId="5F4C7AB3" w:rsidR="00613A1E" w:rsidRDefault="00613A1E" w:rsidP="00613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6">
              <w:rPr>
                <w:rFonts w:ascii="Times New Roman" w:hAnsi="Times New Roman" w:cs="Times New Roman"/>
                <w:sz w:val="18"/>
                <w:szCs w:val="24"/>
              </w:rPr>
              <w:t>Delayed care; selective care-seeking; avoided care</w:t>
            </w:r>
          </w:p>
        </w:tc>
      </w:tr>
    </w:tbl>
    <w:p w14:paraId="3A973C90" w14:textId="44AB5CE1" w:rsidR="00F86312" w:rsidRPr="00E841A6" w:rsidRDefault="00F86312" w:rsidP="00613A1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86312" w:rsidRPr="00E841A6" w:rsidSect="00E841A6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1A6"/>
    <w:rsid w:val="002148D3"/>
    <w:rsid w:val="003D0DD7"/>
    <w:rsid w:val="0058277F"/>
    <w:rsid w:val="00613A1E"/>
    <w:rsid w:val="0064101D"/>
    <w:rsid w:val="00C6400C"/>
    <w:rsid w:val="00E841A6"/>
    <w:rsid w:val="00F31075"/>
    <w:rsid w:val="00F8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AE83F"/>
  <w15:chartTrackingRefBased/>
  <w15:docId w15:val="{6D5A1F76-4E98-4B4D-AB57-5718D249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1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1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1A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1A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1A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1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1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1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1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1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1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841A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841A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84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1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1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1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1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1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1A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84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2266</Words>
  <Characters>12917</Characters>
  <Application>Microsoft Office Word</Application>
  <DocSecurity>0</DocSecurity>
  <Lines>107</Lines>
  <Paragraphs>30</Paragraphs>
  <ScaleCrop>false</ScaleCrop>
  <Company/>
  <LinksUpToDate>false</LinksUpToDate>
  <CharactersWithSpaces>15153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2026-06-09T13:53:00Z</dcterms:created>
  <dcterms:modified xsi:type="dcterms:W3CDTF">2026-06-09T14:31:00Z</dcterms:modified>
</cp:coreProperties>
</file>