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370942">
      <w:pPr>
        <w:pStyle w:val="11"/>
        <w:rPr>
          <w:rFonts w:hint="eastAsia" w:eastAsia="SimSun"/>
          <w:lang w:eastAsia="zh-CN"/>
        </w:rPr>
      </w:pPr>
      <w:r>
        <w:rPr>
          <w:rFonts w:hint="eastAsia"/>
          <w:lang w:eastAsia="zh-CN"/>
        </w:rPr>
        <w:t>Supplementary Table S1. ImageJ/Fiji workflow parameters for contour-based curvature analysis</w:t>
      </w:r>
    </w:p>
    <w:tbl>
      <w:tblPr>
        <w:tblStyle w:val="12"/>
        <w:tblW w:w="8522" w:type="dxa"/>
        <w:tblCellSpacing w:w="15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130"/>
        <w:gridCol w:w="3017"/>
        <w:gridCol w:w="3375"/>
      </w:tblGrid>
      <w:tr w14:paraId="77901D2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tblCellSpacing w:w="15" w:type="dxa"/>
        </w:trPr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80FE0D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b/>
                <w:bCs/>
                <w:sz w:val="20"/>
                <w:szCs w:val="20"/>
              </w:rPr>
            </w:pPr>
            <w:bookmarkStart w:id="0" w:name="_GoBack"/>
            <w:r>
              <w:rPr>
                <w:rFonts w:hint="default" w:ascii="Times New Roman" w:hAnsi="Times New Roman" w:eastAsia="SimSun" w:cs="Times New Roman"/>
                <w:b/>
                <w:bCs/>
                <w:snapToGrid/>
                <w:kern w:val="0"/>
                <w:sz w:val="20"/>
                <w:szCs w:val="20"/>
                <w:lang w:val="en-US" w:eastAsia="zh-CN" w:bidi="ar"/>
              </w:rPr>
              <w:t>Workflow component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990523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imSu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snapToGrid/>
                <w:kern w:val="0"/>
                <w:sz w:val="20"/>
                <w:szCs w:val="20"/>
                <w:lang w:val="en-US" w:eastAsia="zh-CN" w:bidi="ar"/>
              </w:rPr>
              <w:t>Specification used in this study</w:t>
            </w:r>
          </w:p>
        </w:tc>
        <w:tc>
          <w:tcPr>
            <w:tcW w:w="333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125C75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imSu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snapToGrid/>
                <w:kern w:val="0"/>
                <w:sz w:val="20"/>
                <w:szCs w:val="20"/>
                <w:lang w:val="en-US" w:eastAsia="zh-CN" w:bidi="ar"/>
              </w:rPr>
              <w:t>Rationale / notes</w:t>
            </w:r>
          </w:p>
        </w:tc>
      </w:tr>
      <w:tr w14:paraId="20467F1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3626034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Imaging modality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70544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Posteroanterior weight-bearing knee radiographs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50FCB55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Routine clinical radiographs were used for two-dimensional assessment of medial tibial rim morphology.</w:t>
            </w:r>
          </w:p>
        </w:tc>
      </w:tr>
      <w:tr w14:paraId="0E05374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509FBB3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Image format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D02B4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Original DICOM radiographs exported from the institutional PACS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725085F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DICOM format was retained to preserve spatial calibration metadata where available.</w:t>
            </w:r>
          </w:p>
        </w:tc>
      </w:tr>
      <w:tr w14:paraId="13F8E61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0673880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Primary image geometry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B3341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Original-geometry images were used for curvature analysis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15ABE3D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Non-resampled images were used to avoid resampling-related distortion of scale-dependent contour geometry.</w:t>
            </w:r>
          </w:p>
        </w:tc>
      </w:tr>
      <w:tr w14:paraId="2ED1806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2E16552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Spatial calibration source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4EBA7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DICOM Pixel Spacing metadata or verified calibrated scale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02670AC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Contour length was expressed in millimetres, curvature in mm⁻¹, and curvature variance in mm⁻².</w:t>
            </w:r>
          </w:p>
        </w:tc>
      </w:tr>
      <w:tr w14:paraId="1D50956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3A8AB1D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External calibration marker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E4BC0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Not used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5C0B366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Measurements represent standardized two-dimensional image-plane dimensions rather than true three-dimensional anatomical dimensions.</w:t>
            </w:r>
          </w:p>
        </w:tc>
      </w:tr>
      <w:tr w14:paraId="494DE84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7D22FC2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Image enhancement for primary curvature analysis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E1C8D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Not used for primary curvature-based measurement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549CB2B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Image enhancement or matrix-standardization procedures were not used for the primary curvature analysis to avoid altering scale-dependent contour geometry.</w:t>
            </w:r>
          </w:p>
        </w:tc>
      </w:tr>
      <w:tr w14:paraId="7B55FEC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2CFB0E9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Software platform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71653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Fiji distribution of ImageJ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7A96B31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ImageJ/Fiji was used for ROI handling, contour tracing, spline fitting, curvature analysis, and measurement documentation.</w:t>
            </w:r>
          </w:p>
        </w:tc>
      </w:tr>
      <w:tr w14:paraId="6C31CF2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4FCB738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ImageJ/Fiji version record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EE10C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Exact ImageJ version and Fiji update snapshot date were not exported in the original processing log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2A174F9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This limitation is reported transparently because version-specific runtime information was not saved during the original analysis.</w:t>
            </w:r>
          </w:p>
        </w:tc>
      </w:tr>
      <w:tr w14:paraId="41D67F2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170DB00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Operating system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E95E9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Windows operating system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409DB49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Measurements were performed in a Windows-based ImageJ/Fiji environment.</w:t>
            </w:r>
          </w:p>
        </w:tc>
      </w:tr>
      <w:tr w14:paraId="0463316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5683C5F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Java runtime version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8F73A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Not exported in the original processing log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409E1C5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Java runtime information was not saved in the original processing record.</w:t>
            </w:r>
          </w:p>
        </w:tc>
      </w:tr>
      <w:tr w14:paraId="4E5DFCC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34BC645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Curvature analysis plugin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20598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Kappa Curvature Analysis plugin in Fiji/ImageJ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751AF94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The plugin was used for curvature computation from spline-smoothed contour ROIs.</w:t>
            </w:r>
          </w:p>
        </w:tc>
      </w:tr>
      <w:tr w14:paraId="7203175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1758B78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Kappa plugin source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04CA3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Brouhard Lab GitHub repository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1F6AECD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The Kappa plugin source was documented as the Brouhard Lab GitHub repository and cited in the reference list.</w:t>
            </w:r>
          </w:p>
        </w:tc>
      </w:tr>
      <w:tr w14:paraId="03400A1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0E9A64E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Kappa plugin access date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B682E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21 May 2025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02282DA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The access date was recorded for software-source traceability.</w:t>
            </w:r>
          </w:p>
        </w:tc>
      </w:tr>
      <w:tr w14:paraId="3A8D2C9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707A265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Kappa plugin version record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CA044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Exact runtime plugin version was not exported in the original processing log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2335AA1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The same installed plugin environment was used consistently for all included cases.</w:t>
            </w:r>
          </w:p>
        </w:tc>
      </w:tr>
      <w:tr w14:paraId="4CDC4CA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76F2BC8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Kappa plugin parameter handling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AC6BF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Fixed Kappa plugin settings were applied identically across all cases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58D17A8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No per-image interactive tuning was performed. This was used to minimize operator-dependent parameter variation.</w:t>
            </w:r>
          </w:p>
        </w:tc>
      </w:tr>
      <w:tr w14:paraId="04EE3B8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6FF14C0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Analysis site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A3121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Medial tibial marginal rim on the posteroanterior projection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2817AFF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A fixed anatomical site was used to reduce selection bias related to visually selecting only prominent osteophytes.</w:t>
            </w:r>
          </w:p>
        </w:tc>
      </w:tr>
      <w:tr w14:paraId="1F9D5F1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79E9729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Analysis window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62DB7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Medial one-third of the tibial plateau rim measured from the medial cortical margin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73875B1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A prespecified anatomical window was used to standardize contour placement across KL grades.</w:t>
            </w:r>
          </w:p>
        </w:tc>
      </w:tr>
      <w:tr w14:paraId="0CF533D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0B0DFD6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Anchor point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5C9E0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Most protruding local convex point within the medial tibial rim region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37C6DA9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In knees without a discrete osteophyte, the most protruding convex point within the same predefined window was used.</w:t>
            </w:r>
          </w:p>
        </w:tc>
      </w:tr>
      <w:tr w14:paraId="484BB67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035C9EC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Multiple prominences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D71AD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The point with the greatest protrusion was selected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24830D4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This rule was used to standardize apex selection when more than one local convexity was present.</w:t>
            </w:r>
          </w:p>
        </w:tc>
      </w:tr>
      <w:tr w14:paraId="057DBCE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3A39E8C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Non-identifiable apex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0D044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Classified as nonquantifiable and recorded using predefined QC reason codes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0A9BA1C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Non-identifiable apex, flattening, overlap, artifact, or anatomical ambiguity was not replaced by forced manual estimation.</w:t>
            </w:r>
          </w:p>
        </w:tc>
      </w:tr>
      <w:tr w14:paraId="5D53A01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0F1B94A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ROI tracing tool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1D67B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Freehand Line tool in ImageJ/Fiji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3E2F6CE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Manual tracing was performed along the visible outer cortical margin.</w:t>
            </w:r>
          </w:p>
        </w:tc>
      </w:tr>
      <w:tr w14:paraId="337FDD1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282DA80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Tracing operator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33001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Trained analyst blinded to KL grade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4B77A8B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Blinding was used to reduce measurement bias during contour delineation.</w:t>
            </w:r>
          </w:p>
        </w:tc>
      </w:tr>
      <w:tr w14:paraId="3DCBEDE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3A1EC51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Contour starting point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38ACD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Apex anchor of the focal convexity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6BFAA6C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Apex-anchored tracing was used to standardize contour placement relative to the local protrusion.</w:t>
            </w:r>
          </w:p>
        </w:tc>
      </w:tr>
      <w:tr w14:paraId="17D865E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1B9A864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Contour extension rule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EDE56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Contour was extended from the apex bilaterally until the focal convexity merged with the adjacent baseline cortical rim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5436894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This rule defined the localized analyzable contour segment.</w:t>
            </w:r>
          </w:p>
        </w:tc>
      </w:tr>
      <w:tr w14:paraId="2F0B641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6E285E6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Baseline segment inclusion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AD7BE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Short neighbouring baseline rim segments were included when visible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2817A3F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Neighbouring baseline rim segments were included to improve contour stability and provide local shape context.</w:t>
            </w:r>
          </w:p>
        </w:tc>
      </w:tr>
      <w:tr w14:paraId="638DB7D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0807DDF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Stopping rule when transition was unclear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16822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The predefined analysis-window boundary was used as the stopping point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22AE78B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This prevented arbitrary contour extension beyond the prespecified anatomical region.</w:t>
            </w:r>
          </w:p>
        </w:tc>
      </w:tr>
      <w:tr w14:paraId="79028A2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5D0B5AA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Poor visibility rule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0FE9D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Tracing was terminated if the cortical rim was insufficiently visible for continuous delineation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50E1718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Cases with nontraceable contours were recorded as nonquantifiable rather than assigned forced values.</w:t>
            </w:r>
          </w:p>
        </w:tc>
      </w:tr>
      <w:tr w14:paraId="448FA4A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1673D17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Spline-fitting procedure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95838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Single-pass Fit Spline smoothing in ImageJ/Fiji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6BADE60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One spline-fitting step was applied to reduce digitization noise while preserving overall contour geometry.</w:t>
            </w:r>
          </w:p>
        </w:tc>
      </w:tr>
      <w:tr w14:paraId="47DA433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454B179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Curve input for curvature analysis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FD9F4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Spline-smoothed manually traced medial tibial rim contour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5650313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The spline-smoothed ROI was used as the input curve for Kappa-based curvature computation.</w:t>
            </w:r>
          </w:p>
        </w:tc>
      </w:tr>
      <w:tr w14:paraId="6F3C545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0DDD9FB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Curvature computation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4BBCA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Curvature was computed from spline-smoothed contours using the Kappa Curvature Analysis plugin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5F045B8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Pointwise curvature values were computed along the analyzed contour.</w:t>
            </w:r>
          </w:p>
        </w:tc>
      </w:tr>
      <w:tr w14:paraId="248BBB7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16EC7ED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Curvature scale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A7DED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Calibrated image scale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14D4D4D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Curvature values were reported in mm⁻¹, and curvature variance was reported in mm⁻².</w:t>
            </w:r>
          </w:p>
        </w:tc>
      </w:tr>
      <w:tr w14:paraId="128C3A7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5EA631E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Curvature sampling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778EF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Pointwise curvature values were sampled along the analyzed contour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505BDD7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Pointwise sampling allowed summary curvature descriptors to be calculated over the analyzable contour segment.</w:t>
            </w:r>
          </w:p>
        </w:tc>
      </w:tr>
      <w:tr w14:paraId="1186028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3041746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Endpoint handling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CEAD9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Curvature values at the first and last sampling steps were excluded before summary calculation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6BDD4D6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Endpoint exclusion was used to reduce instability at contour boundaries.</w:t>
            </w:r>
          </w:p>
        </w:tc>
      </w:tr>
      <w:tr w14:paraId="04AF897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7C41487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Curvature sign handling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5D514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Absolute curvature values were used for final summary descriptors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1D14A2F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Absolute values were used to reduce instability related to tracing direction and local sign changes.</w:t>
            </w:r>
          </w:p>
        </w:tc>
      </w:tr>
      <w:tr w14:paraId="5C880DD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1B4DC33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Primary curvature descriptor 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BCB7B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Mean curvature, κmean, expressed in mm⁻¹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0D873B1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Prespecified to represent the overall sharpness or bending tendency of the analyzed contour.</w:t>
            </w:r>
          </w:p>
        </w:tc>
      </w:tr>
      <w:tr w14:paraId="2000631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7C1A603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Primary curvature descriptor 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2774F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Curvature variance, Var(κ), expressed in mm⁻²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0A58397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Prespecified to represent local irregularity or heterogeneity of bending along the contour.</w:t>
            </w:r>
          </w:p>
        </w:tc>
      </w:tr>
      <w:tr w14:paraId="0B43457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03BCDA6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Quality-control covariate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82B22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Realized analyzable contour length, Lsegment, expressed in millimetres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06707E8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Treated as a protocol-realization quality-control covariate rather than as a direct osteophyte-size endpoint.</w:t>
            </w:r>
          </w:p>
        </w:tc>
      </w:tr>
      <w:tr w14:paraId="522961D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5C78907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Interpretation of Lsegment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61AA4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Lsegment may reflect both biological contour extension and image-dependent traceability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3B1A467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Lsegment was included as an adjustment covariate in the primary analyses.</w:t>
            </w:r>
          </w:p>
        </w:tc>
      </w:tr>
      <w:tr w14:paraId="7A5A15C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363B958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Quantifiable case definition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BECFD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A case was considered quantifiable if a continuous cortical margin could be traced and curvature computation was completed successfully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09CC21A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Quantitative values were exported only for successfully traceable and computable contours.</w:t>
            </w:r>
          </w:p>
        </w:tc>
      </w:tr>
      <w:tr w14:paraId="237EDAB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6897D59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Nonquantifiable case handling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92EC2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Primary reason for failure was recorded using predefined QC reason codes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5B538C2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Forced manual values were not assigned to nonquantifiable cases.</w:t>
            </w:r>
          </w:p>
        </w:tc>
      </w:tr>
      <w:tr w14:paraId="2448A24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1C911FC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Contour storage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8FE88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Final contours were saved as ImageJ ROI sets under unique study identifiers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10A95DD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This enabled traceability from quantitative outputs back to the source image and contour geometry.</w:t>
            </w:r>
          </w:p>
        </w:tc>
      </w:tr>
      <w:tr w14:paraId="52BEF4F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577FD9F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Output file format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B9A7A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Structured comma-separated value files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5AE32D9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Output tables supported downstream statistical analysis and workflow auditing.</w:t>
            </w:r>
          </w:p>
        </w:tc>
      </w:tr>
      <w:tr w14:paraId="3FA2A87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5A2C34E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Exported identifiers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94A88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Study ID, processing stream, ROI or contour identifier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512A7E1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These fields allowed each measurement to be linked to the corresponding image and contour file.</w:t>
            </w:r>
          </w:p>
        </w:tc>
      </w:tr>
      <w:tr w14:paraId="27DDFE2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50C268D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Exported calibration fields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F3123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Pixel spacing or calibration status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412ADFD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These fields documented the spatial calibration used for each measurement.</w:t>
            </w:r>
          </w:p>
        </w:tc>
      </w:tr>
      <w:tr w14:paraId="33646F0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7A0FD34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Exported feature values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93F52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Lsegment, κmean, Var(κ), and available curvature-related outputs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351A9C3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These variables formed the basis for descriptive, repeatability, and association analyses.</w:t>
            </w:r>
          </w:p>
        </w:tc>
      </w:tr>
      <w:tr w14:paraId="2D0DFDB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49F9A37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Quality-control flags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D39F6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Contour visibility, ROI placement stability, landmark identification reliability, calibration status, and computation success/failure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4C6DD0E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QC flags supported auditability of the measurement workflow.</w:t>
            </w:r>
          </w:p>
        </w:tc>
      </w:tr>
      <w:tr w14:paraId="730B64C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6B45650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Repeatability subset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87406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Stratified subset of 25 radiographs, with five cases randomly selected from each KL grade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4C50D23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Used for intra-observer repeatability assessment.</w:t>
            </w:r>
          </w:p>
        </w:tc>
      </w:tr>
      <w:tr w14:paraId="23C1B64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07AC48C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Repeatability interval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8C054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Two-week interval between initial and repeat measurement sessions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09A92C7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Reduced immediate recall of the initial contour placement.</w:t>
            </w:r>
          </w:p>
        </w:tc>
      </w:tr>
      <w:tr w14:paraId="30C6AB5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</w:trPr>
        <w:tc>
          <w:tcPr>
            <w:tcW w:w="2085" w:type="dxa"/>
            <w:shd w:val="clear" w:color="auto" w:fill="auto"/>
            <w:vAlign w:val="center"/>
          </w:tcPr>
          <w:p w14:paraId="4ECB109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Repeatability blinding</w:t>
            </w:r>
          </w:p>
        </w:tc>
        <w:tc>
          <w:tcPr>
            <w:tcW w:w="2987" w:type="dxa"/>
            <w:shd w:val="clear" w:color="auto" w:fill="auto"/>
            <w:vAlign w:val="center"/>
          </w:tcPr>
          <w:p w14:paraId="52190F2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Repeat measurements were performed under re-coded, randomized, and blinded conditions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0A87D88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napToGrid/>
                <w:kern w:val="0"/>
                <w:sz w:val="20"/>
                <w:szCs w:val="20"/>
                <w:lang w:val="en-US" w:eastAsia="zh-CN" w:bidi="ar"/>
              </w:rPr>
              <w:t>The analyst was blinded to initial measurements, saved ROI files, saved contour files, and reference KL grades during repeat assessment.</w:t>
            </w:r>
          </w:p>
        </w:tc>
      </w:tr>
      <w:bookmarkEnd w:id="0"/>
    </w:tbl>
    <w:p w14:paraId="16F48DD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88" w:lineRule="auto"/>
      </w:pPr>
      <w:r>
        <w:separator/>
      </w:r>
    </w:p>
  </w:footnote>
  <w:footnote w:type="continuationSeparator" w:id="1">
    <w:p>
      <w:pPr>
        <w:spacing w:before="0" w:after="0" w:line="28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8EE00A5"/>
    <w:multiLevelType w:val="multilevel"/>
    <w:tmpl w:val="E8EE00A5"/>
    <w:lvl w:ilvl="0" w:tentative="0">
      <w:start w:val="1"/>
      <w:numFmt w:val="decimal"/>
      <w:pStyle w:val="2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pStyle w:val="3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pStyle w:val="4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pStyle w:val="5"/>
      <w:lvlText w:val="%1.%2.%3.%4."/>
      <w:lvlJc w:val="left"/>
      <w:pPr>
        <w:ind w:left="1584" w:hanging="864"/>
      </w:pPr>
      <w:rPr>
        <w:rFonts w:hint="default"/>
      </w:rPr>
    </w:lvl>
    <w:lvl w:ilvl="4" w:tentative="0">
      <w:start w:val="1"/>
      <w:numFmt w:val="decimal"/>
      <w:pStyle w:val="6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pStyle w:val="7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pStyle w:val="8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pStyle w:val="9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pStyle w:val="10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64E290C"/>
    <w:rsid w:val="2D5D4530"/>
    <w:rsid w:val="378050D0"/>
    <w:rsid w:val="5AF75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after="20" w:afterLines="20" w:line="288" w:lineRule="auto"/>
      <w:jc w:val="both"/>
    </w:pPr>
    <w:rPr>
      <w:rFonts w:ascii="Times New Roman" w:hAnsi="Times New Roman" w:eastAsia="Times New Roman" w:cs="Times New Roman"/>
      <w:snapToGrid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3"/>
    <w:link w:val="14"/>
    <w:qFormat/>
    <w:uiPriority w:val="0"/>
    <w:pPr>
      <w:keepNext/>
      <w:keepLines/>
      <w:numPr>
        <w:ilvl w:val="0"/>
        <w:numId w:val="1"/>
      </w:numPr>
      <w:tabs>
        <w:tab w:val="left" w:pos="113"/>
      </w:tabs>
      <w:spacing w:after="480"/>
      <w:ind w:left="432" w:hanging="432"/>
      <w:jc w:val="center"/>
      <w:outlineLvl w:val="0"/>
    </w:pPr>
    <w:rPr>
      <w:rFonts w:ascii="Times New Roman" w:hAnsi="Times New Roman" w:eastAsiaTheme="majorAscii" w:cstheme="majorBidi"/>
      <w:b/>
      <w:sz w:val="28"/>
      <w:szCs w:val="32"/>
      <w:lang w:val="en-US" w:eastAsia="en-US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before="260" w:beforeLines="0" w:beforeAutospacing="0" w:after="260" w:afterLines="0" w:afterAutospacing="0" w:line="413" w:lineRule="auto"/>
      <w:ind w:left="575" w:hanging="575"/>
      <w:outlineLvl w:val="1"/>
    </w:pPr>
    <w:rPr>
      <w:rFonts w:ascii="Arial" w:hAnsi="Arial" w:eastAsia="SimHei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1"/>
      </w:numPr>
      <w:spacing w:before="260" w:beforeLines="0" w:beforeAutospacing="0" w:after="260" w:afterLines="0" w:afterAutospacing="0" w:line="413" w:lineRule="auto"/>
      <w:ind w:left="720" w:hanging="720"/>
      <w:outlineLvl w:val="2"/>
    </w:pPr>
    <w:rPr>
      <w:b/>
      <w:sz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left="1584" w:hanging="864"/>
      <w:outlineLvl w:val="3"/>
    </w:pPr>
    <w:rPr>
      <w:rFonts w:ascii="Arial" w:hAnsi="Arial" w:eastAsia="SimHei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1008" w:hanging="1008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1151" w:hanging="1151"/>
      <w:outlineLvl w:val="5"/>
    </w:pPr>
    <w:rPr>
      <w:rFonts w:ascii="Arial" w:hAnsi="Arial" w:eastAsia="SimHei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1296" w:hanging="1296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1440" w:hanging="1440"/>
      <w:outlineLvl w:val="7"/>
    </w:pPr>
    <w:rPr>
      <w:rFonts w:ascii="Arial" w:hAnsi="Arial" w:eastAsia="SimHei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83" w:hanging="1583"/>
      <w:outlineLvl w:val="8"/>
    </w:pPr>
    <w:rPr>
      <w:rFonts w:ascii="Arial" w:hAnsi="Arial" w:eastAsia="SimHei"/>
      <w:sz w:val="21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caption"/>
    <w:basedOn w:val="1"/>
    <w:next w:val="1"/>
    <w:semiHidden/>
    <w:unhideWhenUsed/>
    <w:qFormat/>
    <w:uiPriority w:val="0"/>
    <w:rPr>
      <w:rFonts w:ascii="Arial" w:hAnsi="Arial" w:eastAsia="SimHei"/>
      <w:sz w:val="20"/>
    </w:rPr>
  </w:style>
  <w:style w:type="character" w:customStyle="1" w:styleId="14">
    <w:name w:val="标题 1 字符"/>
    <w:basedOn w:val="13"/>
    <w:link w:val="2"/>
    <w:qFormat/>
    <w:uiPriority w:val="9"/>
    <w:rPr>
      <w:rFonts w:ascii="Times New Roman" w:hAnsi="Times New Roman" w:eastAsiaTheme="majorAscii" w:cstheme="majorBidi"/>
      <w:b/>
      <w:sz w:val="28"/>
      <w:szCs w:val="3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1209</Words>
  <Characters>7983</Characters>
  <Lines>0</Lines>
  <Paragraphs>0</Paragraphs>
  <TotalTime>1</TotalTime>
  <ScaleCrop>false</ScaleCrop>
  <LinksUpToDate>false</LinksUpToDate>
  <CharactersWithSpaces>9041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2026-02-25T02:02:00Z</dcterms:created>
  <dc:creator>lenovo</dc:creator>
  <cp:lastModifiedBy>任小璐</cp:lastModifiedBy>
  <dcterms:modified xsi:type="dcterms:W3CDTF">2026-05-19T09:23:00Z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77D37241FA5D458791449647764B6CD9_12</vt:lpwstr>
  </property>
  <property fmtid="{D5CDD505-2E9C-101B-9397-08002B2CF9AE}" pid="4" name="KSOTemplateDocerSaveRecord">
    <vt:lpwstr>eyJoZGlkIjoiNTU2MTBjYjgwNDEwZDIyMGRkNmVhYmFkNmIyNzcyNDYiLCJ1c2VySWQiOiIyNjEzMzQ3MjEifQ==</vt:lpwstr>
  </property>
</Properties>
</file>