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A101CA" w14:textId="34CE89EF" w:rsidR="006A0120" w:rsidRPr="004A710D" w:rsidRDefault="006A0120" w:rsidP="00681AEF">
      <w:pPr>
        <w:jc w:val="center"/>
        <w:rPr>
          <w:rFonts w:cs="Calibri"/>
          <w:bCs/>
          <w:sz w:val="22"/>
          <w:szCs w:val="22"/>
        </w:rPr>
      </w:pPr>
    </w:p>
    <w:p w14:paraId="728E70B6" w14:textId="5D86DC9E" w:rsidR="006A0120" w:rsidRPr="004A710D" w:rsidRDefault="006A0120" w:rsidP="00681AEF">
      <w:pPr>
        <w:jc w:val="center"/>
        <w:rPr>
          <w:rFonts w:cs="Calibri"/>
          <w:bCs/>
          <w:sz w:val="22"/>
          <w:szCs w:val="22"/>
        </w:rPr>
      </w:pPr>
    </w:p>
    <w:p w14:paraId="19CA85D3" w14:textId="097C9CC3" w:rsidR="006A0120" w:rsidRPr="004A710D" w:rsidRDefault="006A0120" w:rsidP="00681AEF">
      <w:pPr>
        <w:jc w:val="center"/>
        <w:rPr>
          <w:rFonts w:cs="Calibri"/>
          <w:bCs/>
          <w:sz w:val="22"/>
          <w:szCs w:val="22"/>
        </w:rPr>
      </w:pPr>
    </w:p>
    <w:p w14:paraId="0C96A5A8" w14:textId="0A5DD615" w:rsidR="006A0120" w:rsidRPr="004A710D" w:rsidRDefault="006A0120" w:rsidP="00681AEF">
      <w:pPr>
        <w:jc w:val="center"/>
        <w:rPr>
          <w:rFonts w:cs="Calibri"/>
          <w:bCs/>
          <w:sz w:val="22"/>
          <w:szCs w:val="22"/>
        </w:rPr>
      </w:pPr>
    </w:p>
    <w:p w14:paraId="4CEA9202" w14:textId="77777777" w:rsidR="006A0120" w:rsidRPr="004A710D" w:rsidRDefault="006A0120" w:rsidP="00681AEF">
      <w:pPr>
        <w:jc w:val="center"/>
        <w:rPr>
          <w:rFonts w:cs="Calibri"/>
          <w:bCs/>
          <w:sz w:val="22"/>
          <w:szCs w:val="22"/>
        </w:rPr>
      </w:pPr>
    </w:p>
    <w:p w14:paraId="788B98EA" w14:textId="4B9FD451" w:rsidR="00681AEF" w:rsidRPr="004A710D" w:rsidRDefault="00681AEF" w:rsidP="00681AEF">
      <w:pPr>
        <w:jc w:val="center"/>
        <w:rPr>
          <w:rFonts w:cs="Calibri"/>
          <w:bCs/>
        </w:rPr>
      </w:pPr>
      <w:r w:rsidRPr="004A710D">
        <w:rPr>
          <w:rFonts w:cs="Calibri"/>
          <w:bCs/>
        </w:rPr>
        <w:t>Supplementary Information for</w:t>
      </w:r>
    </w:p>
    <w:p w14:paraId="7B4C8885" w14:textId="057CA524" w:rsidR="00681AEF" w:rsidRPr="004A710D" w:rsidRDefault="00681AEF" w:rsidP="00681AEF">
      <w:pPr>
        <w:jc w:val="center"/>
        <w:rPr>
          <w:rFonts w:cs="Calibri"/>
          <w:b/>
          <w:sz w:val="22"/>
          <w:szCs w:val="22"/>
        </w:rPr>
      </w:pPr>
    </w:p>
    <w:p w14:paraId="605069F1" w14:textId="336983E8" w:rsidR="00AB656A" w:rsidRPr="004A710D" w:rsidRDefault="00AB656A" w:rsidP="00681AEF">
      <w:pPr>
        <w:pStyle w:val="CommentText"/>
        <w:jc w:val="center"/>
        <w:rPr>
          <w:rFonts w:ascii="Times" w:hAnsi="Times" w:cs="Calibri"/>
          <w:b/>
          <w:bCs/>
          <w:sz w:val="28"/>
          <w:szCs w:val="28"/>
        </w:rPr>
      </w:pPr>
      <w:r w:rsidRPr="004A710D">
        <w:rPr>
          <w:rFonts w:ascii="Times" w:hAnsi="Times" w:cs="Calibri"/>
          <w:b/>
          <w:bCs/>
          <w:sz w:val="28"/>
          <w:szCs w:val="28"/>
        </w:rPr>
        <w:t>Linking tree cover change to historical management practices in urban parks</w:t>
      </w:r>
    </w:p>
    <w:p w14:paraId="71F61F77" w14:textId="0A21FD50" w:rsidR="00681AEF" w:rsidRPr="004A710D" w:rsidRDefault="00681AEF" w:rsidP="00681AEF">
      <w:pPr>
        <w:pStyle w:val="CommentText"/>
        <w:jc w:val="center"/>
        <w:rPr>
          <w:rFonts w:ascii="Times" w:hAnsi="Times" w:cs="Calibri"/>
          <w:b/>
          <w:bCs/>
          <w:sz w:val="22"/>
          <w:szCs w:val="22"/>
        </w:rPr>
      </w:pPr>
    </w:p>
    <w:p w14:paraId="54FF9AE3" w14:textId="01144DE8" w:rsidR="00681AEF" w:rsidRPr="004A710D" w:rsidRDefault="00681AEF" w:rsidP="00681AEF">
      <w:pPr>
        <w:pStyle w:val="CommentText"/>
        <w:jc w:val="center"/>
        <w:rPr>
          <w:rFonts w:ascii="Times" w:hAnsi="Times" w:cs="Calibri"/>
        </w:rPr>
      </w:pPr>
      <w:r w:rsidRPr="004A710D">
        <w:rPr>
          <w:rFonts w:ascii="Times" w:hAnsi="Times" w:cs="Calibri"/>
        </w:rPr>
        <w:t xml:space="preserve">Submitted to </w:t>
      </w:r>
      <w:r w:rsidRPr="004A710D">
        <w:rPr>
          <w:rFonts w:ascii="Times" w:hAnsi="Times" w:cs="Calibri"/>
          <w:i/>
          <w:iCs/>
        </w:rPr>
        <w:t>Landscape Ecology</w:t>
      </w:r>
      <w:r w:rsidRPr="004A710D">
        <w:rPr>
          <w:rFonts w:ascii="Times" w:hAnsi="Times" w:cs="Calibri"/>
        </w:rPr>
        <w:t xml:space="preserve"> October 2021</w:t>
      </w:r>
    </w:p>
    <w:p w14:paraId="07FD2E74" w14:textId="77777777" w:rsidR="00AB656A" w:rsidRPr="004A710D" w:rsidRDefault="00AB656A" w:rsidP="00AB656A">
      <w:pPr>
        <w:pStyle w:val="CommentText"/>
        <w:rPr>
          <w:rFonts w:ascii="Times" w:hAnsi="Times" w:cs="Calibri"/>
          <w:b/>
          <w:bCs/>
          <w:sz w:val="22"/>
          <w:szCs w:val="22"/>
        </w:rPr>
      </w:pPr>
    </w:p>
    <w:p w14:paraId="0BEC8018" w14:textId="77777777" w:rsidR="00681AEF" w:rsidRPr="004A710D" w:rsidRDefault="00681AEF" w:rsidP="00AB656A">
      <w:pPr>
        <w:pStyle w:val="CommentText"/>
        <w:rPr>
          <w:rFonts w:ascii="Times" w:hAnsi="Times" w:cs="Calibri"/>
          <w:b/>
          <w:bCs/>
          <w:sz w:val="22"/>
          <w:szCs w:val="22"/>
        </w:rPr>
      </w:pPr>
    </w:p>
    <w:p w14:paraId="6C6B5B09" w14:textId="3A0F2455" w:rsidR="00AB656A" w:rsidRPr="004A710D" w:rsidRDefault="00AB656A" w:rsidP="00AB656A">
      <w:pPr>
        <w:pStyle w:val="CommentText"/>
        <w:ind w:left="360" w:hanging="360"/>
        <w:rPr>
          <w:rStyle w:val="Hyperlink"/>
          <w:rFonts w:ascii="Times" w:hAnsi="Times" w:cs="Calibri"/>
          <w:sz w:val="22"/>
          <w:szCs w:val="22"/>
        </w:rPr>
      </w:pPr>
      <w:r w:rsidRPr="004A710D">
        <w:rPr>
          <w:rFonts w:ascii="Times" w:hAnsi="Times" w:cs="Calibri"/>
          <w:sz w:val="22"/>
          <w:szCs w:val="22"/>
        </w:rPr>
        <w:t xml:space="preserve">Sabine Nix, </w:t>
      </w:r>
      <w:r w:rsidR="008D64B0" w:rsidRPr="008D64B0">
        <w:rPr>
          <w:rFonts w:ascii="Times" w:hAnsi="Times" w:cs="Calibri"/>
          <w:sz w:val="22"/>
          <w:szCs w:val="22"/>
        </w:rPr>
        <w:t>Department of Earth and Environmental Sciences, University of Pennsylvania, 251 Hayden Hall, 240 S 33rd Street, Philadelphia, PA 19104</w:t>
      </w:r>
      <w:r w:rsidRPr="004A710D">
        <w:rPr>
          <w:rFonts w:ascii="Times" w:hAnsi="Times" w:cs="Calibri"/>
          <w:sz w:val="22"/>
          <w:szCs w:val="22"/>
        </w:rPr>
        <w:t xml:space="preserve">, </w:t>
      </w:r>
      <w:hyperlink r:id="rId6" w:history="1">
        <w:r w:rsidRPr="004A710D">
          <w:rPr>
            <w:rStyle w:val="Hyperlink"/>
            <w:rFonts w:ascii="Times" w:hAnsi="Times" w:cs="Calibri"/>
            <w:sz w:val="22"/>
            <w:szCs w:val="22"/>
          </w:rPr>
          <w:t>nixs@sas.upenn.edu</w:t>
        </w:r>
      </w:hyperlink>
    </w:p>
    <w:p w14:paraId="6D906A6B" w14:textId="77777777" w:rsidR="00AB656A" w:rsidRPr="004A710D" w:rsidRDefault="00AB656A" w:rsidP="00AB656A">
      <w:pPr>
        <w:pStyle w:val="CommentText"/>
        <w:ind w:left="360" w:hanging="360"/>
        <w:rPr>
          <w:rFonts w:ascii="Times" w:hAnsi="Times" w:cs="Calibri"/>
          <w:sz w:val="22"/>
          <w:szCs w:val="22"/>
        </w:rPr>
      </w:pPr>
    </w:p>
    <w:p w14:paraId="584F7857" w14:textId="77777777" w:rsidR="00AB656A" w:rsidRPr="004A710D" w:rsidRDefault="00AB656A" w:rsidP="00AB656A">
      <w:pPr>
        <w:pStyle w:val="CommentText"/>
        <w:ind w:left="360" w:hanging="360"/>
        <w:rPr>
          <w:rFonts w:ascii="Times" w:hAnsi="Times" w:cs="Calibri"/>
          <w:sz w:val="22"/>
          <w:szCs w:val="22"/>
        </w:rPr>
      </w:pPr>
      <w:r w:rsidRPr="004A710D">
        <w:rPr>
          <w:rFonts w:ascii="Times" w:hAnsi="Times" w:cs="Calibri"/>
          <w:sz w:val="22"/>
          <w:szCs w:val="22"/>
        </w:rPr>
        <w:t>Lara Roman, USDA Forest Service, Northern Research Station, Philadelphia Field Station, 100 N. 20</w:t>
      </w:r>
      <w:r w:rsidRPr="004A710D">
        <w:rPr>
          <w:rFonts w:ascii="Times" w:hAnsi="Times" w:cs="Calibri"/>
          <w:sz w:val="22"/>
          <w:szCs w:val="22"/>
          <w:vertAlign w:val="superscript"/>
        </w:rPr>
        <w:t>th</w:t>
      </w:r>
      <w:r w:rsidRPr="004A710D">
        <w:rPr>
          <w:rFonts w:ascii="Times" w:hAnsi="Times" w:cs="Calibri"/>
          <w:sz w:val="22"/>
          <w:szCs w:val="22"/>
        </w:rPr>
        <w:t xml:space="preserve"> St., Suite 205, Philadelphia, PA, 19103, </w:t>
      </w:r>
      <w:hyperlink r:id="rId7" w:history="1">
        <w:r w:rsidRPr="004A710D">
          <w:rPr>
            <w:rStyle w:val="Hyperlink"/>
            <w:rFonts w:ascii="Times" w:hAnsi="Times" w:cs="Calibri"/>
            <w:sz w:val="22"/>
            <w:szCs w:val="22"/>
          </w:rPr>
          <w:t>lara.roman@usda.gov</w:t>
        </w:r>
      </w:hyperlink>
    </w:p>
    <w:p w14:paraId="7BC889FA" w14:textId="77777777" w:rsidR="00AB656A" w:rsidRPr="004A710D" w:rsidRDefault="00AB656A" w:rsidP="00AB656A">
      <w:pPr>
        <w:pStyle w:val="CommentText"/>
        <w:ind w:left="360" w:hanging="360"/>
        <w:rPr>
          <w:rFonts w:ascii="Times" w:hAnsi="Times" w:cs="Calibri"/>
          <w:sz w:val="22"/>
          <w:szCs w:val="22"/>
        </w:rPr>
      </w:pPr>
    </w:p>
    <w:p w14:paraId="57623CFF" w14:textId="77777777" w:rsidR="00AB656A" w:rsidRPr="004A710D" w:rsidRDefault="00AB656A" w:rsidP="00AB656A">
      <w:pPr>
        <w:pStyle w:val="CommentText"/>
        <w:ind w:left="360" w:hanging="360"/>
        <w:rPr>
          <w:rFonts w:ascii="Times" w:hAnsi="Times" w:cs="Calibri"/>
          <w:sz w:val="22"/>
          <w:szCs w:val="22"/>
        </w:rPr>
      </w:pPr>
      <w:r w:rsidRPr="004A710D">
        <w:rPr>
          <w:rFonts w:ascii="Times" w:hAnsi="Times" w:cs="Calibri"/>
          <w:sz w:val="22"/>
          <w:szCs w:val="22"/>
        </w:rPr>
        <w:t xml:space="preserve">Marc Healy, Graduate School of Geography, Clark University, 950 Main St., Worcester, MA 01610,  </w:t>
      </w:r>
      <w:hyperlink r:id="rId8" w:history="1">
        <w:r w:rsidRPr="004A710D">
          <w:rPr>
            <w:rStyle w:val="Hyperlink"/>
            <w:rFonts w:ascii="Times" w:hAnsi="Times" w:cs="Calibri"/>
            <w:sz w:val="22"/>
            <w:szCs w:val="22"/>
          </w:rPr>
          <w:t>mhealy@clarku.edu</w:t>
        </w:r>
      </w:hyperlink>
      <w:r w:rsidRPr="004A710D">
        <w:rPr>
          <w:rFonts w:ascii="Times" w:hAnsi="Times" w:cs="Calibri"/>
          <w:sz w:val="22"/>
          <w:szCs w:val="22"/>
        </w:rPr>
        <w:t xml:space="preserve"> </w:t>
      </w:r>
    </w:p>
    <w:p w14:paraId="6ECAE22B" w14:textId="77777777" w:rsidR="00AB656A" w:rsidRPr="004A710D" w:rsidRDefault="00AB656A" w:rsidP="00AB656A">
      <w:pPr>
        <w:pStyle w:val="CommentText"/>
        <w:ind w:left="360" w:hanging="360"/>
        <w:rPr>
          <w:rFonts w:ascii="Times" w:hAnsi="Times" w:cs="Calibri"/>
          <w:sz w:val="22"/>
          <w:szCs w:val="22"/>
        </w:rPr>
      </w:pPr>
    </w:p>
    <w:p w14:paraId="78537C29" w14:textId="77777777" w:rsidR="00AB656A" w:rsidRPr="004A710D" w:rsidRDefault="00AB656A" w:rsidP="00AB656A">
      <w:pPr>
        <w:pStyle w:val="CommentText"/>
        <w:ind w:left="360" w:hanging="360"/>
        <w:rPr>
          <w:rFonts w:ascii="Times" w:hAnsi="Times" w:cs="Calibri"/>
          <w:sz w:val="22"/>
          <w:szCs w:val="22"/>
        </w:rPr>
      </w:pPr>
      <w:r w:rsidRPr="004A710D">
        <w:rPr>
          <w:rFonts w:ascii="Times" w:hAnsi="Times" w:cs="Calibri"/>
          <w:sz w:val="22"/>
          <w:szCs w:val="22"/>
        </w:rPr>
        <w:t xml:space="preserve">John Rogan, Graduate School of Geography, Clark University, 950 Main St., Worcester, MA 01610, </w:t>
      </w:r>
      <w:hyperlink r:id="rId9" w:history="1">
        <w:r w:rsidRPr="004A710D">
          <w:rPr>
            <w:rStyle w:val="Hyperlink"/>
            <w:rFonts w:ascii="Times" w:hAnsi="Times" w:cs="Calibri"/>
            <w:sz w:val="22"/>
            <w:szCs w:val="22"/>
          </w:rPr>
          <w:t>jrogan@clarku.edu</w:t>
        </w:r>
      </w:hyperlink>
    </w:p>
    <w:p w14:paraId="35CF2A81" w14:textId="77777777" w:rsidR="00AB656A" w:rsidRPr="004A710D" w:rsidRDefault="00AB656A" w:rsidP="00AB656A">
      <w:pPr>
        <w:ind w:left="360" w:hanging="360"/>
        <w:rPr>
          <w:rFonts w:cs="Calibri"/>
          <w:sz w:val="22"/>
          <w:szCs w:val="22"/>
        </w:rPr>
      </w:pPr>
    </w:p>
    <w:p w14:paraId="5C26CEDA" w14:textId="453BDF51" w:rsidR="00D83798" w:rsidRPr="004A710D" w:rsidRDefault="00AB656A" w:rsidP="00D76B01">
      <w:pPr>
        <w:ind w:left="360" w:hanging="360"/>
        <w:rPr>
          <w:rFonts w:cs="Calibri"/>
          <w:b/>
          <w:bCs/>
          <w:sz w:val="22"/>
          <w:szCs w:val="22"/>
          <w:u w:val="single"/>
        </w:rPr>
      </w:pPr>
      <w:proofErr w:type="spellStart"/>
      <w:r w:rsidRPr="004A710D">
        <w:rPr>
          <w:rFonts w:cs="Calibri"/>
          <w:sz w:val="22"/>
          <w:szCs w:val="22"/>
        </w:rPr>
        <w:t>Hamil</w:t>
      </w:r>
      <w:proofErr w:type="spellEnd"/>
      <w:r w:rsidRPr="004A710D">
        <w:rPr>
          <w:rFonts w:cs="Calibri"/>
          <w:sz w:val="22"/>
          <w:szCs w:val="22"/>
        </w:rPr>
        <w:t xml:space="preserve"> Pearsall, Geography and Urban Studies Department, Temple University, 308 </w:t>
      </w:r>
      <w:proofErr w:type="spellStart"/>
      <w:r w:rsidRPr="004A710D">
        <w:rPr>
          <w:rFonts w:cs="Calibri"/>
          <w:sz w:val="22"/>
          <w:szCs w:val="22"/>
        </w:rPr>
        <w:t>Gladfelter</w:t>
      </w:r>
      <w:proofErr w:type="spellEnd"/>
      <w:r w:rsidRPr="004A710D">
        <w:rPr>
          <w:rFonts w:cs="Calibri"/>
          <w:sz w:val="22"/>
          <w:szCs w:val="22"/>
        </w:rPr>
        <w:t xml:space="preserve"> Hall, 1115 W. Berks St., Philadelphia, PA 19147, </w:t>
      </w:r>
      <w:hyperlink r:id="rId10" w:history="1">
        <w:r w:rsidRPr="004A710D">
          <w:rPr>
            <w:rStyle w:val="Hyperlink"/>
            <w:rFonts w:cs="Calibri"/>
            <w:sz w:val="22"/>
            <w:szCs w:val="22"/>
          </w:rPr>
          <w:t>hamil.pearsall@temple.edu</w:t>
        </w:r>
      </w:hyperlink>
    </w:p>
    <w:p w14:paraId="04424375" w14:textId="77777777" w:rsidR="00D76B01" w:rsidRPr="004A710D" w:rsidRDefault="00D76B01">
      <w:pPr>
        <w:rPr>
          <w:rFonts w:cs="Calibri"/>
          <w:b/>
          <w:bCs/>
          <w:i/>
          <w:sz w:val="22"/>
          <w:szCs w:val="22"/>
        </w:rPr>
      </w:pPr>
      <w:r w:rsidRPr="004A710D">
        <w:rPr>
          <w:rFonts w:cs="Calibri"/>
          <w:b/>
          <w:bCs/>
          <w:i/>
          <w:sz w:val="22"/>
          <w:szCs w:val="22"/>
        </w:rPr>
        <w:br w:type="page"/>
      </w:r>
    </w:p>
    <w:p w14:paraId="43C7AA29" w14:textId="5D5440AE" w:rsidR="001267CA" w:rsidRPr="004A710D" w:rsidRDefault="00681AEF">
      <w:pPr>
        <w:rPr>
          <w:rFonts w:cs="Calibri"/>
          <w:b/>
          <w:bCs/>
          <w:i/>
          <w:sz w:val="22"/>
          <w:szCs w:val="22"/>
        </w:rPr>
      </w:pPr>
      <w:r w:rsidRPr="004A710D">
        <w:rPr>
          <w:rFonts w:cs="Calibri"/>
          <w:b/>
          <w:bCs/>
          <w:i/>
          <w:sz w:val="22"/>
          <w:szCs w:val="22"/>
        </w:rPr>
        <w:lastRenderedPageBreak/>
        <w:t xml:space="preserve">S1. </w:t>
      </w:r>
      <w:r w:rsidR="001267CA" w:rsidRPr="004A710D">
        <w:rPr>
          <w:rFonts w:cs="Calibri"/>
          <w:b/>
          <w:bCs/>
          <w:i/>
          <w:sz w:val="22"/>
          <w:szCs w:val="22"/>
        </w:rPr>
        <w:t>Image Preprocessing</w:t>
      </w:r>
    </w:p>
    <w:p w14:paraId="5DD7C694" w14:textId="0C3D9023" w:rsidR="001267CA" w:rsidRPr="004A710D" w:rsidRDefault="001267CA" w:rsidP="00A57372">
      <w:pPr>
        <w:ind w:firstLine="720"/>
        <w:rPr>
          <w:rFonts w:cs="Calibri"/>
          <w:sz w:val="22"/>
          <w:szCs w:val="22"/>
        </w:rPr>
      </w:pPr>
      <w:r w:rsidRPr="004A710D">
        <w:rPr>
          <w:rFonts w:cs="Calibri"/>
          <w:sz w:val="22"/>
          <w:szCs w:val="22"/>
        </w:rPr>
        <w:t xml:space="preserve">At least 15 ground control points (GCPs) were chosen to link the historic imagery and the orthorectified 2018 imagery (Zhou et al. 2011; Kennedy </w:t>
      </w:r>
      <w:r w:rsidR="00145E49" w:rsidRPr="004A710D">
        <w:rPr>
          <w:rFonts w:cs="Calibri"/>
          <w:sz w:val="22"/>
          <w:szCs w:val="22"/>
        </w:rPr>
        <w:t>and</w:t>
      </w:r>
      <w:r w:rsidRPr="004A710D">
        <w:rPr>
          <w:rFonts w:cs="Calibri"/>
          <w:sz w:val="22"/>
          <w:szCs w:val="22"/>
        </w:rPr>
        <w:t xml:space="preserve"> Spies 2004). The average number of GCPs across all georeferenced images was 22.7. The GCPs were chosen at easily identifiable locations that did not change position over time, such as road intersections and prominent monuments. Points were added or deleted to keep the overall </w:t>
      </w:r>
      <w:sdt>
        <w:sdtPr>
          <w:rPr>
            <w:rFonts w:cs="Calibri"/>
            <w:sz w:val="22"/>
            <w:szCs w:val="22"/>
          </w:rPr>
          <w:tag w:val="goog_rdk_1"/>
          <w:id w:val="1518506352"/>
        </w:sdtPr>
        <w:sdtEndPr/>
        <w:sdtContent/>
      </w:sdt>
      <w:r w:rsidRPr="004A710D">
        <w:rPr>
          <w:rFonts w:cs="Calibri"/>
          <w:sz w:val="22"/>
          <w:szCs w:val="22"/>
        </w:rPr>
        <w:t>root mean square (RMS) error within an acceptable range (</w:t>
      </w:r>
      <w:r w:rsidR="0058773E" w:rsidRPr="004A710D">
        <w:rPr>
          <w:rFonts w:cs="Calibri"/>
          <w:sz w:val="22"/>
          <w:szCs w:val="22"/>
        </w:rPr>
        <w:t xml:space="preserve">Bowman et al. 2001; Kennedy </w:t>
      </w:r>
      <w:r w:rsidR="00145E49" w:rsidRPr="004A710D">
        <w:rPr>
          <w:rFonts w:cs="Calibri"/>
          <w:sz w:val="22"/>
          <w:szCs w:val="22"/>
        </w:rPr>
        <w:t>and</w:t>
      </w:r>
      <w:r w:rsidR="0058773E" w:rsidRPr="004A710D">
        <w:rPr>
          <w:rFonts w:cs="Calibri"/>
          <w:sz w:val="22"/>
          <w:szCs w:val="22"/>
        </w:rPr>
        <w:t xml:space="preserve"> Spies 2004; </w:t>
      </w:r>
      <w:r w:rsidRPr="004A710D">
        <w:rPr>
          <w:rFonts w:cs="Calibri"/>
          <w:sz w:val="22"/>
          <w:szCs w:val="22"/>
        </w:rPr>
        <w:t xml:space="preserve">Brook </w:t>
      </w:r>
      <w:r w:rsidR="00145E49" w:rsidRPr="004A710D">
        <w:rPr>
          <w:rFonts w:cs="Calibri"/>
          <w:sz w:val="22"/>
          <w:szCs w:val="22"/>
        </w:rPr>
        <w:t>and</w:t>
      </w:r>
      <w:r w:rsidRPr="004A710D">
        <w:rPr>
          <w:rFonts w:cs="Calibri"/>
          <w:sz w:val="22"/>
          <w:szCs w:val="22"/>
        </w:rPr>
        <w:t xml:space="preserve"> Bowman 2006). For each image, the overall first order RMS error was less than 10m, and no individual GCP had an RMS error greater than 15m. The average RMS error for affine transformations was 7.29m, and after applying a second order polynomial transformation to each image, the average RMS error dropped to 4.33m. Each georeferenced image was resampled with bilinear interpolation, and the quality of the georeferencing result was assessed using the ArcGIS Swipe Layer tool before mosaicking images together to a new raster.  </w:t>
      </w:r>
    </w:p>
    <w:p w14:paraId="39E9F3E2" w14:textId="77777777" w:rsidR="001267CA" w:rsidRPr="004A710D" w:rsidRDefault="001267CA">
      <w:pPr>
        <w:rPr>
          <w:rFonts w:cs="Calibri"/>
          <w:sz w:val="22"/>
          <w:szCs w:val="22"/>
        </w:rPr>
      </w:pPr>
    </w:p>
    <w:p w14:paraId="5F3DEFF4" w14:textId="717C4C41" w:rsidR="001267CA" w:rsidRPr="004A710D" w:rsidRDefault="00681AEF">
      <w:pPr>
        <w:rPr>
          <w:rFonts w:cs="Calibri"/>
          <w:b/>
          <w:bCs/>
          <w:i/>
          <w:iCs/>
          <w:sz w:val="22"/>
          <w:szCs w:val="22"/>
        </w:rPr>
      </w:pPr>
      <w:r w:rsidRPr="004A710D">
        <w:rPr>
          <w:rFonts w:cs="Calibri"/>
          <w:b/>
          <w:bCs/>
          <w:i/>
          <w:iCs/>
          <w:sz w:val="22"/>
          <w:szCs w:val="22"/>
        </w:rPr>
        <w:t xml:space="preserve">S2. </w:t>
      </w:r>
      <w:r w:rsidR="001267CA" w:rsidRPr="004A710D">
        <w:rPr>
          <w:rFonts w:cs="Calibri"/>
          <w:b/>
          <w:bCs/>
          <w:i/>
          <w:iCs/>
          <w:sz w:val="22"/>
          <w:szCs w:val="22"/>
        </w:rPr>
        <w:t>Polygon Delineation and Change Detection</w:t>
      </w:r>
    </w:p>
    <w:p w14:paraId="662B4F16" w14:textId="43D761FC" w:rsidR="001267CA" w:rsidRPr="004A710D" w:rsidRDefault="001267CA" w:rsidP="001267CA">
      <w:pPr>
        <w:ind w:firstLine="720"/>
        <w:rPr>
          <w:rFonts w:cs="Calibri"/>
          <w:sz w:val="22"/>
          <w:szCs w:val="22"/>
        </w:rPr>
      </w:pPr>
      <w:r w:rsidRPr="004A710D">
        <w:rPr>
          <w:rFonts w:cs="Calibri"/>
          <w:sz w:val="22"/>
          <w:szCs w:val="22"/>
        </w:rPr>
        <w:t>For each park, the polygons were first delineated on the newest imagery, and then backward in time to allow newer imagery to assist with interpretation of older imagery (</w:t>
      </w:r>
      <w:r w:rsidR="00202C46" w:rsidRPr="004A710D">
        <w:rPr>
          <w:rFonts w:cs="Calibri"/>
          <w:sz w:val="22"/>
          <w:szCs w:val="22"/>
        </w:rPr>
        <w:t xml:space="preserve">Gerard et al. 2010; </w:t>
      </w:r>
      <w:r w:rsidRPr="004A710D">
        <w:rPr>
          <w:rFonts w:cs="Calibri"/>
          <w:sz w:val="22"/>
          <w:szCs w:val="22"/>
        </w:rPr>
        <w:t xml:space="preserve">Bonny </w:t>
      </w:r>
      <w:r w:rsidR="00145E49" w:rsidRPr="004A710D">
        <w:rPr>
          <w:rFonts w:cs="Calibri"/>
          <w:sz w:val="22"/>
          <w:szCs w:val="22"/>
        </w:rPr>
        <w:t>and</w:t>
      </w:r>
      <w:r w:rsidRPr="004A710D">
        <w:rPr>
          <w:rFonts w:cs="Calibri"/>
          <w:sz w:val="22"/>
          <w:szCs w:val="22"/>
        </w:rPr>
        <w:t xml:space="preserve"> He 2019). While delineating polygons, a </w:t>
      </w:r>
      <w:sdt>
        <w:sdtPr>
          <w:rPr>
            <w:rFonts w:cs="Calibri"/>
            <w:sz w:val="22"/>
            <w:szCs w:val="22"/>
          </w:rPr>
          <w:tag w:val="goog_rdk_4"/>
          <w:id w:val="-1883011646"/>
        </w:sdtPr>
        <w:sdtEndPr/>
        <w:sdtContent/>
      </w:sdt>
      <w:r w:rsidRPr="004A710D">
        <w:rPr>
          <w:rFonts w:cs="Calibri"/>
          <w:sz w:val="22"/>
          <w:szCs w:val="22"/>
        </w:rPr>
        <w:t>fixed viewing scale (</w:t>
      </w:r>
      <w:proofErr w:type="spellStart"/>
      <w:r w:rsidRPr="004A710D">
        <w:rPr>
          <w:rFonts w:cs="Calibri"/>
          <w:sz w:val="22"/>
          <w:szCs w:val="22"/>
        </w:rPr>
        <w:t>Ucar</w:t>
      </w:r>
      <w:proofErr w:type="spellEnd"/>
      <w:r w:rsidRPr="004A710D">
        <w:rPr>
          <w:rFonts w:cs="Calibri"/>
          <w:sz w:val="22"/>
          <w:szCs w:val="22"/>
        </w:rPr>
        <w:t xml:space="preserve"> et al. 2016) of 1:400 to 1:600 was used to maintain consistency across years with differing resolutions, and delineation of polygons was continued past park boundaries until there was a sufficient buffer between the park boundary and the polygon edge. </w:t>
      </w:r>
    </w:p>
    <w:p w14:paraId="7A93D5C0" w14:textId="77777777" w:rsidR="001267CA" w:rsidRPr="004A710D" w:rsidRDefault="001267CA">
      <w:pPr>
        <w:rPr>
          <w:rFonts w:cs="Calibri"/>
          <w:b/>
          <w:bCs/>
          <w:sz w:val="22"/>
          <w:szCs w:val="22"/>
          <w:u w:val="single"/>
        </w:rPr>
      </w:pPr>
    </w:p>
    <w:p w14:paraId="74042AB0" w14:textId="5530E593" w:rsidR="00220D6C" w:rsidRPr="004A710D" w:rsidRDefault="00681AEF" w:rsidP="00220D6C">
      <w:pPr>
        <w:rPr>
          <w:rFonts w:cs="Calibri"/>
          <w:b/>
          <w:bCs/>
          <w:i/>
          <w:sz w:val="22"/>
          <w:szCs w:val="22"/>
        </w:rPr>
      </w:pPr>
      <w:r w:rsidRPr="004A710D">
        <w:rPr>
          <w:rFonts w:cs="Calibri"/>
          <w:b/>
          <w:bCs/>
          <w:i/>
          <w:sz w:val="22"/>
          <w:szCs w:val="22"/>
        </w:rPr>
        <w:t xml:space="preserve">S3. </w:t>
      </w:r>
      <w:r w:rsidR="001267CA" w:rsidRPr="004A710D">
        <w:rPr>
          <w:rFonts w:cs="Calibri"/>
          <w:b/>
          <w:bCs/>
          <w:i/>
          <w:sz w:val="22"/>
          <w:szCs w:val="22"/>
        </w:rPr>
        <w:t>Assessment of error</w:t>
      </w:r>
    </w:p>
    <w:p w14:paraId="12433A54" w14:textId="7AA7438B" w:rsidR="00220D6C" w:rsidRPr="004A710D" w:rsidRDefault="00D4576F" w:rsidP="00220D6C">
      <w:pPr>
        <w:ind w:firstLine="720"/>
        <w:rPr>
          <w:rFonts w:cs="Calibri"/>
          <w:sz w:val="22"/>
          <w:szCs w:val="22"/>
        </w:rPr>
      </w:pPr>
      <w:r w:rsidRPr="004A710D">
        <w:rPr>
          <w:rFonts w:cs="Calibri"/>
          <w:sz w:val="22"/>
          <w:szCs w:val="22"/>
        </w:rPr>
        <w:t xml:space="preserve">For each park, delineation by a second interpreter was conducted within randomly placed </w:t>
      </w:r>
      <w:r w:rsidR="00362762" w:rsidRPr="004A710D">
        <w:rPr>
          <w:rFonts w:cs="Calibri"/>
          <w:sz w:val="22"/>
          <w:szCs w:val="22"/>
        </w:rPr>
        <w:t xml:space="preserve">3 ha </w:t>
      </w:r>
      <w:r w:rsidRPr="004A710D">
        <w:rPr>
          <w:rFonts w:cs="Calibri"/>
          <w:sz w:val="22"/>
          <w:szCs w:val="22"/>
        </w:rPr>
        <w:t xml:space="preserve">validation plots. The number of these plots varied by park to reach roughly 10% of each park’s area. In East Fairmount Park and the Schuylkill Center the validation plots covered 9.9% of the park’s area, and in West Fairmount Park the plots covered 10.1% of the park’s area. </w:t>
      </w:r>
    </w:p>
    <w:p w14:paraId="3821685B" w14:textId="77777777" w:rsidR="00220D6C" w:rsidRPr="004A710D" w:rsidRDefault="00220D6C" w:rsidP="00220D6C">
      <w:pPr>
        <w:rPr>
          <w:rFonts w:cs="Calibri"/>
          <w:sz w:val="22"/>
          <w:szCs w:val="22"/>
        </w:rPr>
      </w:pPr>
    </w:p>
    <w:p w14:paraId="74AD3B9B" w14:textId="71D6CC72" w:rsidR="00220D6C" w:rsidRPr="004A710D" w:rsidRDefault="00D4576F" w:rsidP="00220D6C">
      <w:pPr>
        <w:ind w:firstLine="720"/>
        <w:rPr>
          <w:rFonts w:cs="Calibri"/>
          <w:sz w:val="22"/>
          <w:szCs w:val="22"/>
        </w:rPr>
      </w:pPr>
      <w:r w:rsidRPr="004A710D">
        <w:rPr>
          <w:rFonts w:cs="Calibri"/>
          <w:sz w:val="22"/>
          <w:szCs w:val="22"/>
        </w:rPr>
        <w:t>Percent</w:t>
      </w:r>
      <w:r w:rsidR="00220D6C" w:rsidRPr="004A710D">
        <w:rPr>
          <w:rFonts w:cs="Calibri"/>
          <w:sz w:val="22"/>
          <w:szCs w:val="22"/>
        </w:rPr>
        <w:t xml:space="preserve"> </w:t>
      </w:r>
      <w:r w:rsidR="00D3554C" w:rsidRPr="004A710D">
        <w:rPr>
          <w:rFonts w:cs="Calibri"/>
          <w:sz w:val="22"/>
          <w:szCs w:val="22"/>
        </w:rPr>
        <w:t>a</w:t>
      </w:r>
      <w:r w:rsidR="00220D6C" w:rsidRPr="004A710D">
        <w:rPr>
          <w:rFonts w:cs="Calibri"/>
          <w:sz w:val="22"/>
          <w:szCs w:val="22"/>
        </w:rPr>
        <w:t xml:space="preserve">greement was calculated by finding the area of intersection between the two interpreters for both areas delineated as tree cover and areas </w:t>
      </w:r>
      <w:r w:rsidR="00220D6C" w:rsidRPr="004A710D">
        <w:rPr>
          <w:rFonts w:cs="Calibri"/>
          <w:i/>
          <w:iCs/>
          <w:sz w:val="22"/>
          <w:szCs w:val="22"/>
        </w:rPr>
        <w:t>not</w:t>
      </w:r>
      <w:r w:rsidR="00220D6C" w:rsidRPr="004A710D">
        <w:rPr>
          <w:rFonts w:cs="Calibri"/>
          <w:sz w:val="22"/>
          <w:szCs w:val="22"/>
        </w:rPr>
        <w:t xml:space="preserve"> delineated as tree cover. </w:t>
      </w:r>
      <w:r w:rsidR="00841B6F" w:rsidRPr="004A710D">
        <w:rPr>
          <w:rFonts w:cs="Calibri"/>
          <w:sz w:val="22"/>
          <w:szCs w:val="22"/>
        </w:rPr>
        <w:t>The</w:t>
      </w:r>
      <w:r w:rsidR="001C4A84" w:rsidRPr="004A710D">
        <w:rPr>
          <w:rFonts w:cs="Calibri"/>
          <w:sz w:val="22"/>
          <w:szCs w:val="22"/>
        </w:rPr>
        <w:t xml:space="preserve">se </w:t>
      </w:r>
      <w:r w:rsidR="00841B6F" w:rsidRPr="004A710D">
        <w:rPr>
          <w:rFonts w:cs="Calibri"/>
          <w:sz w:val="22"/>
          <w:szCs w:val="22"/>
        </w:rPr>
        <w:t>areas of</w:t>
      </w:r>
      <w:r w:rsidR="00220D6C" w:rsidRPr="004A710D">
        <w:rPr>
          <w:rFonts w:cs="Calibri"/>
          <w:sz w:val="22"/>
          <w:szCs w:val="22"/>
        </w:rPr>
        <w:t xml:space="preserve"> </w:t>
      </w:r>
      <w:r w:rsidR="00841B6F" w:rsidRPr="004A710D">
        <w:rPr>
          <w:rFonts w:cs="Calibri"/>
          <w:sz w:val="22"/>
          <w:szCs w:val="22"/>
        </w:rPr>
        <w:t xml:space="preserve">intersection (agreement) </w:t>
      </w:r>
      <w:r w:rsidR="00220D6C" w:rsidRPr="004A710D">
        <w:rPr>
          <w:rFonts w:cs="Calibri"/>
          <w:sz w:val="22"/>
          <w:szCs w:val="22"/>
        </w:rPr>
        <w:t>were then added together to get an overall area of agreement</w:t>
      </w:r>
      <w:r w:rsidR="0017568D" w:rsidRPr="004A710D">
        <w:rPr>
          <w:rFonts w:cs="Calibri"/>
          <w:sz w:val="22"/>
          <w:szCs w:val="22"/>
        </w:rPr>
        <w:t xml:space="preserve"> within the validation plot</w:t>
      </w:r>
      <w:r w:rsidR="00050563" w:rsidRPr="004A710D">
        <w:rPr>
          <w:rFonts w:cs="Calibri"/>
          <w:sz w:val="22"/>
          <w:szCs w:val="22"/>
        </w:rPr>
        <w:t>s</w:t>
      </w:r>
      <w:r w:rsidR="00220D6C" w:rsidRPr="004A710D">
        <w:rPr>
          <w:rFonts w:cs="Calibri"/>
          <w:sz w:val="22"/>
          <w:szCs w:val="22"/>
        </w:rPr>
        <w:t xml:space="preserve">, and then divided by the </w:t>
      </w:r>
      <w:r w:rsidR="00050563" w:rsidRPr="004A710D">
        <w:rPr>
          <w:rFonts w:cs="Calibri"/>
          <w:sz w:val="22"/>
          <w:szCs w:val="22"/>
        </w:rPr>
        <w:t xml:space="preserve">total </w:t>
      </w:r>
      <w:r w:rsidR="00220D6C" w:rsidRPr="004A710D">
        <w:rPr>
          <w:rFonts w:cs="Calibri"/>
          <w:sz w:val="22"/>
          <w:szCs w:val="22"/>
        </w:rPr>
        <w:t xml:space="preserve">plot area to find the </w:t>
      </w:r>
      <w:r w:rsidR="00050563" w:rsidRPr="004A710D">
        <w:rPr>
          <w:rFonts w:cs="Calibri"/>
          <w:sz w:val="22"/>
          <w:szCs w:val="22"/>
        </w:rPr>
        <w:t>percent</w:t>
      </w:r>
      <w:r w:rsidR="00220D6C" w:rsidRPr="004A710D">
        <w:rPr>
          <w:rFonts w:cs="Calibri"/>
          <w:sz w:val="22"/>
          <w:szCs w:val="22"/>
        </w:rPr>
        <w:t xml:space="preserve"> agreement.</w:t>
      </w:r>
    </w:p>
    <w:p w14:paraId="2C354275" w14:textId="77777777" w:rsidR="00220D6C" w:rsidRPr="004A710D" w:rsidRDefault="00220D6C" w:rsidP="001267CA">
      <w:pPr>
        <w:rPr>
          <w:rFonts w:cs="Calibri"/>
          <w:i/>
          <w:sz w:val="22"/>
          <w:szCs w:val="22"/>
        </w:rPr>
      </w:pPr>
    </w:p>
    <w:p w14:paraId="2F067EC3" w14:textId="703782D9" w:rsidR="001267CA" w:rsidRPr="004A710D" w:rsidRDefault="001267CA" w:rsidP="001267CA">
      <w:pPr>
        <w:rPr>
          <w:rFonts w:cs="Calibri"/>
          <w:iCs/>
          <w:sz w:val="22"/>
          <w:szCs w:val="22"/>
        </w:rPr>
      </w:pPr>
      <w:r w:rsidRPr="004A710D">
        <w:rPr>
          <w:rFonts w:cs="Calibri"/>
          <w:b/>
          <w:bCs/>
          <w:iCs/>
          <w:sz w:val="22"/>
          <w:szCs w:val="22"/>
        </w:rPr>
        <w:t xml:space="preserve">Table </w:t>
      </w:r>
      <w:r w:rsidR="00626F20" w:rsidRPr="004A710D">
        <w:rPr>
          <w:rFonts w:cs="Calibri"/>
          <w:b/>
          <w:bCs/>
          <w:iCs/>
          <w:sz w:val="22"/>
          <w:szCs w:val="22"/>
        </w:rPr>
        <w:t>S</w:t>
      </w:r>
      <w:r w:rsidR="00681AEF" w:rsidRPr="004A710D">
        <w:rPr>
          <w:rFonts w:cs="Calibri"/>
          <w:b/>
          <w:bCs/>
          <w:iCs/>
          <w:sz w:val="22"/>
          <w:szCs w:val="22"/>
        </w:rPr>
        <w:t>3.</w:t>
      </w:r>
      <w:r w:rsidR="00864BBD" w:rsidRPr="004A710D">
        <w:rPr>
          <w:rFonts w:cs="Calibri"/>
          <w:b/>
          <w:bCs/>
          <w:iCs/>
          <w:sz w:val="22"/>
          <w:szCs w:val="22"/>
        </w:rPr>
        <w:t>1</w:t>
      </w:r>
      <w:r w:rsidRPr="004A710D">
        <w:rPr>
          <w:rFonts w:cs="Calibri"/>
          <w:b/>
          <w:bCs/>
          <w:iCs/>
          <w:sz w:val="22"/>
          <w:szCs w:val="22"/>
        </w:rPr>
        <w:t>.</w:t>
      </w:r>
      <w:r w:rsidRPr="004A710D">
        <w:rPr>
          <w:rFonts w:cs="Calibri"/>
          <w:iCs/>
          <w:sz w:val="22"/>
          <w:szCs w:val="22"/>
        </w:rPr>
        <w:t xml:space="preserve"> Agreement between interpreters. Percent agreement refers to the percent of the plot area that both interpreters agreed on (including tree cover and not-tree cover), while </w:t>
      </w:r>
      <w:r w:rsidR="0084743A" w:rsidRPr="004A710D">
        <w:rPr>
          <w:rFonts w:cs="Calibri"/>
          <w:iCs/>
          <w:sz w:val="22"/>
          <w:szCs w:val="22"/>
        </w:rPr>
        <w:t>UTC difference</w:t>
      </w:r>
      <w:r w:rsidRPr="004A710D">
        <w:rPr>
          <w:rFonts w:cs="Calibri"/>
          <w:iCs/>
          <w:sz w:val="22"/>
          <w:szCs w:val="22"/>
        </w:rPr>
        <w:t xml:space="preserve"> refers to the absolute value </w:t>
      </w:r>
      <w:r w:rsidR="0084743A" w:rsidRPr="004A710D">
        <w:rPr>
          <w:rFonts w:cs="Calibri"/>
          <w:iCs/>
          <w:sz w:val="22"/>
          <w:szCs w:val="22"/>
        </w:rPr>
        <w:t xml:space="preserve">of the </w:t>
      </w:r>
      <w:r w:rsidRPr="004A710D">
        <w:rPr>
          <w:rFonts w:cs="Calibri"/>
          <w:iCs/>
          <w:sz w:val="22"/>
          <w:szCs w:val="22"/>
        </w:rPr>
        <w:t xml:space="preserve">difference between the </w:t>
      </w:r>
      <w:r w:rsidR="0084743A" w:rsidRPr="004A710D">
        <w:rPr>
          <w:rFonts w:cs="Calibri"/>
          <w:iCs/>
          <w:sz w:val="22"/>
          <w:szCs w:val="22"/>
        </w:rPr>
        <w:t>UTC percentages</w:t>
      </w:r>
      <w:r w:rsidRPr="004A710D">
        <w:rPr>
          <w:rFonts w:cs="Calibri"/>
          <w:iCs/>
          <w:sz w:val="22"/>
          <w:szCs w:val="22"/>
        </w:rPr>
        <w:t xml:space="preserve"> </w:t>
      </w:r>
      <w:r w:rsidR="0084743A" w:rsidRPr="004A710D">
        <w:rPr>
          <w:rFonts w:cs="Calibri"/>
          <w:iCs/>
          <w:sz w:val="22"/>
          <w:szCs w:val="22"/>
        </w:rPr>
        <w:t>from each interpreter’s delineation.</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1358"/>
        <w:gridCol w:w="1589"/>
        <w:gridCol w:w="1422"/>
        <w:gridCol w:w="1317"/>
        <w:gridCol w:w="1530"/>
        <w:gridCol w:w="1440"/>
      </w:tblGrid>
      <w:tr w:rsidR="001267CA" w:rsidRPr="004A710D" w14:paraId="423F467E" w14:textId="77777777" w:rsidTr="0084743A">
        <w:tc>
          <w:tcPr>
            <w:tcW w:w="704" w:type="dxa"/>
            <w:tcBorders>
              <w:top w:val="single" w:sz="4" w:space="0" w:color="auto"/>
              <w:bottom w:val="single" w:sz="4" w:space="0" w:color="auto"/>
            </w:tcBorders>
            <w:vAlign w:val="center"/>
          </w:tcPr>
          <w:p w14:paraId="2739C799"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Year</w:t>
            </w:r>
          </w:p>
        </w:tc>
        <w:tc>
          <w:tcPr>
            <w:tcW w:w="2947" w:type="dxa"/>
            <w:gridSpan w:val="2"/>
            <w:tcBorders>
              <w:top w:val="single" w:sz="4" w:space="0" w:color="auto"/>
              <w:bottom w:val="single" w:sz="4" w:space="0" w:color="auto"/>
            </w:tcBorders>
            <w:vAlign w:val="center"/>
          </w:tcPr>
          <w:p w14:paraId="6EAAFA5E"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West Fairmount Park</w:t>
            </w:r>
          </w:p>
        </w:tc>
        <w:tc>
          <w:tcPr>
            <w:tcW w:w="2739" w:type="dxa"/>
            <w:gridSpan w:val="2"/>
            <w:tcBorders>
              <w:top w:val="single" w:sz="4" w:space="0" w:color="auto"/>
              <w:bottom w:val="single" w:sz="4" w:space="0" w:color="auto"/>
            </w:tcBorders>
          </w:tcPr>
          <w:p w14:paraId="3053D46C"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East Fairmount Park</w:t>
            </w:r>
          </w:p>
        </w:tc>
        <w:tc>
          <w:tcPr>
            <w:tcW w:w="2970" w:type="dxa"/>
            <w:gridSpan w:val="2"/>
            <w:tcBorders>
              <w:top w:val="single" w:sz="4" w:space="0" w:color="auto"/>
              <w:bottom w:val="single" w:sz="4" w:space="0" w:color="auto"/>
            </w:tcBorders>
          </w:tcPr>
          <w:p w14:paraId="1B08F8D8"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Schuylkill Center</w:t>
            </w:r>
          </w:p>
        </w:tc>
      </w:tr>
      <w:tr w:rsidR="001267CA" w:rsidRPr="004A710D" w14:paraId="088C5699" w14:textId="77777777" w:rsidTr="00D45B24">
        <w:tc>
          <w:tcPr>
            <w:tcW w:w="704" w:type="dxa"/>
            <w:tcBorders>
              <w:top w:val="single" w:sz="4" w:space="0" w:color="auto"/>
            </w:tcBorders>
            <w:vAlign w:val="center"/>
          </w:tcPr>
          <w:p w14:paraId="10802951" w14:textId="77777777" w:rsidR="001267CA" w:rsidRPr="004A710D" w:rsidRDefault="001267CA" w:rsidP="00563268">
            <w:pPr>
              <w:spacing w:line="276" w:lineRule="auto"/>
              <w:jc w:val="center"/>
              <w:rPr>
                <w:rFonts w:cs="Calibri"/>
                <w:iCs/>
                <w:sz w:val="22"/>
                <w:szCs w:val="22"/>
              </w:rPr>
            </w:pPr>
          </w:p>
        </w:tc>
        <w:tc>
          <w:tcPr>
            <w:tcW w:w="1358" w:type="dxa"/>
            <w:tcBorders>
              <w:top w:val="single" w:sz="4" w:space="0" w:color="auto"/>
            </w:tcBorders>
            <w:vAlign w:val="center"/>
          </w:tcPr>
          <w:p w14:paraId="1FBDBE3A" w14:textId="0404F17E" w:rsidR="001267CA" w:rsidRPr="004A710D" w:rsidRDefault="0084743A" w:rsidP="00563268">
            <w:pPr>
              <w:spacing w:line="276" w:lineRule="auto"/>
              <w:jc w:val="center"/>
              <w:rPr>
                <w:rFonts w:cs="Calibri"/>
                <w:iCs/>
                <w:sz w:val="22"/>
                <w:szCs w:val="22"/>
              </w:rPr>
            </w:pPr>
            <w:r w:rsidRPr="004A710D">
              <w:rPr>
                <w:rFonts w:cs="Calibri"/>
                <w:iCs/>
                <w:sz w:val="22"/>
                <w:szCs w:val="22"/>
              </w:rPr>
              <w:t xml:space="preserve">UTC </w:t>
            </w:r>
            <w:r w:rsidR="001267CA" w:rsidRPr="004A710D">
              <w:rPr>
                <w:rFonts w:cs="Calibri"/>
                <w:iCs/>
                <w:sz w:val="22"/>
                <w:szCs w:val="22"/>
              </w:rPr>
              <w:t xml:space="preserve">Difference </w:t>
            </w:r>
          </w:p>
        </w:tc>
        <w:tc>
          <w:tcPr>
            <w:tcW w:w="1589" w:type="dxa"/>
            <w:tcBorders>
              <w:top w:val="single" w:sz="4" w:space="0" w:color="auto"/>
            </w:tcBorders>
            <w:vAlign w:val="center"/>
          </w:tcPr>
          <w:p w14:paraId="4D377A95"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 xml:space="preserve"> Percent Agreement</w:t>
            </w:r>
          </w:p>
        </w:tc>
        <w:tc>
          <w:tcPr>
            <w:tcW w:w="1422" w:type="dxa"/>
            <w:tcBorders>
              <w:top w:val="single" w:sz="4" w:space="0" w:color="auto"/>
            </w:tcBorders>
          </w:tcPr>
          <w:p w14:paraId="646672DB" w14:textId="7BA13E11" w:rsidR="001267CA" w:rsidRPr="004A710D" w:rsidRDefault="0084743A" w:rsidP="00563268">
            <w:pPr>
              <w:spacing w:line="276" w:lineRule="auto"/>
              <w:jc w:val="center"/>
              <w:rPr>
                <w:rFonts w:cs="Calibri"/>
                <w:iCs/>
                <w:sz w:val="22"/>
                <w:szCs w:val="22"/>
              </w:rPr>
            </w:pPr>
            <w:r w:rsidRPr="004A710D">
              <w:rPr>
                <w:rFonts w:cs="Calibri"/>
                <w:iCs/>
                <w:sz w:val="22"/>
                <w:szCs w:val="22"/>
              </w:rPr>
              <w:t>UTC Difference</w:t>
            </w:r>
          </w:p>
        </w:tc>
        <w:tc>
          <w:tcPr>
            <w:tcW w:w="1317" w:type="dxa"/>
            <w:tcBorders>
              <w:top w:val="single" w:sz="4" w:space="0" w:color="auto"/>
            </w:tcBorders>
            <w:vAlign w:val="center"/>
          </w:tcPr>
          <w:p w14:paraId="49511566"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Percent Agreement</w:t>
            </w:r>
          </w:p>
        </w:tc>
        <w:tc>
          <w:tcPr>
            <w:tcW w:w="1530" w:type="dxa"/>
            <w:tcBorders>
              <w:top w:val="single" w:sz="4" w:space="0" w:color="auto"/>
            </w:tcBorders>
          </w:tcPr>
          <w:p w14:paraId="46AEBBBA" w14:textId="5FB6CECD" w:rsidR="001267CA" w:rsidRPr="004A710D" w:rsidRDefault="0084743A" w:rsidP="00563268">
            <w:pPr>
              <w:spacing w:line="276" w:lineRule="auto"/>
              <w:jc w:val="center"/>
              <w:rPr>
                <w:rFonts w:cs="Calibri"/>
                <w:iCs/>
                <w:sz w:val="22"/>
                <w:szCs w:val="22"/>
              </w:rPr>
            </w:pPr>
            <w:r w:rsidRPr="004A710D">
              <w:rPr>
                <w:rFonts w:cs="Calibri"/>
                <w:iCs/>
                <w:sz w:val="22"/>
                <w:szCs w:val="22"/>
              </w:rPr>
              <w:t>UTC Difference</w:t>
            </w:r>
          </w:p>
        </w:tc>
        <w:tc>
          <w:tcPr>
            <w:tcW w:w="1440" w:type="dxa"/>
            <w:tcBorders>
              <w:top w:val="single" w:sz="4" w:space="0" w:color="auto"/>
            </w:tcBorders>
            <w:vAlign w:val="center"/>
          </w:tcPr>
          <w:p w14:paraId="3864A7F6" w14:textId="77777777" w:rsidR="001267CA" w:rsidRPr="004A710D" w:rsidRDefault="001267CA" w:rsidP="0084743A">
            <w:pPr>
              <w:spacing w:line="276" w:lineRule="auto"/>
              <w:jc w:val="center"/>
              <w:rPr>
                <w:rFonts w:cs="Calibri"/>
                <w:iCs/>
                <w:sz w:val="22"/>
                <w:szCs w:val="22"/>
              </w:rPr>
            </w:pPr>
            <w:r w:rsidRPr="004A710D">
              <w:rPr>
                <w:rFonts w:cs="Calibri"/>
                <w:iCs/>
                <w:sz w:val="22"/>
                <w:szCs w:val="22"/>
              </w:rPr>
              <w:t>Percent Agreement</w:t>
            </w:r>
          </w:p>
        </w:tc>
      </w:tr>
      <w:tr w:rsidR="001267CA" w:rsidRPr="004A710D" w14:paraId="7EA586FB" w14:textId="77777777" w:rsidTr="00D45B24">
        <w:tc>
          <w:tcPr>
            <w:tcW w:w="704" w:type="dxa"/>
            <w:tcBorders>
              <w:top w:val="single" w:sz="4" w:space="0" w:color="auto"/>
            </w:tcBorders>
            <w:vAlign w:val="center"/>
          </w:tcPr>
          <w:p w14:paraId="0AE2D0FA"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1959</w:t>
            </w:r>
          </w:p>
        </w:tc>
        <w:tc>
          <w:tcPr>
            <w:tcW w:w="1358" w:type="dxa"/>
            <w:tcBorders>
              <w:top w:val="single" w:sz="4" w:space="0" w:color="auto"/>
            </w:tcBorders>
          </w:tcPr>
          <w:p w14:paraId="3A77AC6F"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0.2%</w:t>
            </w:r>
          </w:p>
        </w:tc>
        <w:tc>
          <w:tcPr>
            <w:tcW w:w="1589" w:type="dxa"/>
            <w:tcBorders>
              <w:top w:val="single" w:sz="4" w:space="0" w:color="auto"/>
            </w:tcBorders>
            <w:vAlign w:val="center"/>
          </w:tcPr>
          <w:p w14:paraId="1C1EFF36"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90.3%</w:t>
            </w:r>
          </w:p>
        </w:tc>
        <w:tc>
          <w:tcPr>
            <w:tcW w:w="1422" w:type="dxa"/>
            <w:tcBorders>
              <w:top w:val="single" w:sz="4" w:space="0" w:color="auto"/>
            </w:tcBorders>
          </w:tcPr>
          <w:p w14:paraId="6C3168C5"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5.3%</w:t>
            </w:r>
          </w:p>
        </w:tc>
        <w:tc>
          <w:tcPr>
            <w:tcW w:w="1317" w:type="dxa"/>
            <w:tcBorders>
              <w:top w:val="single" w:sz="4" w:space="0" w:color="auto"/>
            </w:tcBorders>
            <w:vAlign w:val="center"/>
          </w:tcPr>
          <w:p w14:paraId="3E8D4993"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91.0%</w:t>
            </w:r>
          </w:p>
        </w:tc>
        <w:tc>
          <w:tcPr>
            <w:tcW w:w="1530" w:type="dxa"/>
            <w:tcBorders>
              <w:top w:val="single" w:sz="4" w:space="0" w:color="auto"/>
            </w:tcBorders>
          </w:tcPr>
          <w:p w14:paraId="4D4C578E"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3.6%</w:t>
            </w:r>
          </w:p>
        </w:tc>
        <w:tc>
          <w:tcPr>
            <w:tcW w:w="1440" w:type="dxa"/>
            <w:tcBorders>
              <w:top w:val="single" w:sz="4" w:space="0" w:color="auto"/>
            </w:tcBorders>
            <w:vAlign w:val="center"/>
          </w:tcPr>
          <w:p w14:paraId="04C7C38C"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89.6%</w:t>
            </w:r>
          </w:p>
        </w:tc>
      </w:tr>
      <w:tr w:rsidR="001267CA" w:rsidRPr="004A710D" w14:paraId="1985EF11" w14:textId="77777777" w:rsidTr="00D45B24">
        <w:tc>
          <w:tcPr>
            <w:tcW w:w="704" w:type="dxa"/>
            <w:vAlign w:val="center"/>
          </w:tcPr>
          <w:p w14:paraId="2F384312"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1980</w:t>
            </w:r>
          </w:p>
        </w:tc>
        <w:tc>
          <w:tcPr>
            <w:tcW w:w="1358" w:type="dxa"/>
          </w:tcPr>
          <w:p w14:paraId="1C71D4FF"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1.6%</w:t>
            </w:r>
          </w:p>
        </w:tc>
        <w:tc>
          <w:tcPr>
            <w:tcW w:w="1589" w:type="dxa"/>
            <w:vAlign w:val="center"/>
          </w:tcPr>
          <w:p w14:paraId="5604EABD"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87.4%</w:t>
            </w:r>
          </w:p>
        </w:tc>
        <w:tc>
          <w:tcPr>
            <w:tcW w:w="1422" w:type="dxa"/>
          </w:tcPr>
          <w:p w14:paraId="15AE4608"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5.6%</w:t>
            </w:r>
          </w:p>
        </w:tc>
        <w:tc>
          <w:tcPr>
            <w:tcW w:w="1317" w:type="dxa"/>
            <w:vAlign w:val="center"/>
          </w:tcPr>
          <w:p w14:paraId="59C14D90"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89.7%</w:t>
            </w:r>
          </w:p>
        </w:tc>
        <w:tc>
          <w:tcPr>
            <w:tcW w:w="1530" w:type="dxa"/>
          </w:tcPr>
          <w:p w14:paraId="67C9710A"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1.3%</w:t>
            </w:r>
          </w:p>
        </w:tc>
        <w:tc>
          <w:tcPr>
            <w:tcW w:w="1440" w:type="dxa"/>
            <w:vAlign w:val="center"/>
          </w:tcPr>
          <w:p w14:paraId="360283C5"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94.0%</w:t>
            </w:r>
          </w:p>
        </w:tc>
      </w:tr>
      <w:tr w:rsidR="001267CA" w:rsidRPr="004A710D" w14:paraId="7F0C3261" w14:textId="77777777" w:rsidTr="00D45B24">
        <w:tc>
          <w:tcPr>
            <w:tcW w:w="704" w:type="dxa"/>
            <w:vAlign w:val="center"/>
          </w:tcPr>
          <w:p w14:paraId="42311221"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2000</w:t>
            </w:r>
          </w:p>
        </w:tc>
        <w:tc>
          <w:tcPr>
            <w:tcW w:w="1358" w:type="dxa"/>
          </w:tcPr>
          <w:p w14:paraId="6F91433E"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0.7%</w:t>
            </w:r>
          </w:p>
        </w:tc>
        <w:tc>
          <w:tcPr>
            <w:tcW w:w="1589" w:type="dxa"/>
            <w:vAlign w:val="center"/>
          </w:tcPr>
          <w:p w14:paraId="32CD97C3"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88.5%</w:t>
            </w:r>
          </w:p>
        </w:tc>
        <w:tc>
          <w:tcPr>
            <w:tcW w:w="1422" w:type="dxa"/>
          </w:tcPr>
          <w:p w14:paraId="1443DF98"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2.1%</w:t>
            </w:r>
          </w:p>
        </w:tc>
        <w:tc>
          <w:tcPr>
            <w:tcW w:w="1317" w:type="dxa"/>
            <w:vAlign w:val="center"/>
          </w:tcPr>
          <w:p w14:paraId="0AE59633"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89.6%</w:t>
            </w:r>
          </w:p>
        </w:tc>
        <w:tc>
          <w:tcPr>
            <w:tcW w:w="1530" w:type="dxa"/>
          </w:tcPr>
          <w:p w14:paraId="24BFDD0C"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2.2%</w:t>
            </w:r>
          </w:p>
        </w:tc>
        <w:tc>
          <w:tcPr>
            <w:tcW w:w="1440" w:type="dxa"/>
            <w:vAlign w:val="center"/>
          </w:tcPr>
          <w:p w14:paraId="6F8FE9E0"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93.7%</w:t>
            </w:r>
          </w:p>
        </w:tc>
      </w:tr>
      <w:tr w:rsidR="001267CA" w:rsidRPr="004A710D" w14:paraId="7D58701A" w14:textId="77777777" w:rsidTr="00D45B24">
        <w:tc>
          <w:tcPr>
            <w:tcW w:w="704" w:type="dxa"/>
            <w:tcBorders>
              <w:bottom w:val="single" w:sz="4" w:space="0" w:color="auto"/>
            </w:tcBorders>
            <w:vAlign w:val="center"/>
          </w:tcPr>
          <w:p w14:paraId="11F5A4C2"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2018</w:t>
            </w:r>
          </w:p>
        </w:tc>
        <w:tc>
          <w:tcPr>
            <w:tcW w:w="1358" w:type="dxa"/>
            <w:tcBorders>
              <w:bottom w:val="single" w:sz="4" w:space="0" w:color="auto"/>
            </w:tcBorders>
          </w:tcPr>
          <w:p w14:paraId="17BE6126"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1.9%</w:t>
            </w:r>
          </w:p>
        </w:tc>
        <w:tc>
          <w:tcPr>
            <w:tcW w:w="1589" w:type="dxa"/>
            <w:tcBorders>
              <w:bottom w:val="single" w:sz="4" w:space="0" w:color="auto"/>
            </w:tcBorders>
            <w:vAlign w:val="center"/>
          </w:tcPr>
          <w:p w14:paraId="7DA1AAE5"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91.3%</w:t>
            </w:r>
          </w:p>
        </w:tc>
        <w:tc>
          <w:tcPr>
            <w:tcW w:w="1422" w:type="dxa"/>
            <w:tcBorders>
              <w:bottom w:val="single" w:sz="4" w:space="0" w:color="auto"/>
            </w:tcBorders>
          </w:tcPr>
          <w:p w14:paraId="3E2606F5"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0.8%</w:t>
            </w:r>
          </w:p>
        </w:tc>
        <w:tc>
          <w:tcPr>
            <w:tcW w:w="1317" w:type="dxa"/>
            <w:tcBorders>
              <w:bottom w:val="single" w:sz="4" w:space="0" w:color="auto"/>
            </w:tcBorders>
            <w:vAlign w:val="center"/>
          </w:tcPr>
          <w:p w14:paraId="53E5B0E8"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93.7%</w:t>
            </w:r>
          </w:p>
        </w:tc>
        <w:tc>
          <w:tcPr>
            <w:tcW w:w="1530" w:type="dxa"/>
            <w:tcBorders>
              <w:bottom w:val="single" w:sz="4" w:space="0" w:color="auto"/>
            </w:tcBorders>
          </w:tcPr>
          <w:p w14:paraId="2DC08E32"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1.1%</w:t>
            </w:r>
          </w:p>
        </w:tc>
        <w:tc>
          <w:tcPr>
            <w:tcW w:w="1440" w:type="dxa"/>
            <w:tcBorders>
              <w:bottom w:val="single" w:sz="4" w:space="0" w:color="auto"/>
            </w:tcBorders>
            <w:vAlign w:val="center"/>
          </w:tcPr>
          <w:p w14:paraId="4F1BECCE"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96.2%</w:t>
            </w:r>
          </w:p>
        </w:tc>
      </w:tr>
    </w:tbl>
    <w:p w14:paraId="44D18A69" w14:textId="77777777" w:rsidR="001267CA" w:rsidRPr="004A710D" w:rsidRDefault="001267CA" w:rsidP="001267CA">
      <w:pPr>
        <w:rPr>
          <w:rFonts w:cs="Calibri"/>
          <w:iCs/>
          <w:sz w:val="22"/>
          <w:szCs w:val="22"/>
        </w:rPr>
      </w:pPr>
    </w:p>
    <w:p w14:paraId="35B7A674" w14:textId="586E1A2A" w:rsidR="001267CA" w:rsidRPr="004A710D" w:rsidRDefault="001267CA" w:rsidP="001267CA">
      <w:pPr>
        <w:ind w:firstLine="720"/>
        <w:rPr>
          <w:rFonts w:cs="Calibri"/>
          <w:sz w:val="22"/>
          <w:szCs w:val="22"/>
        </w:rPr>
      </w:pPr>
      <w:r w:rsidRPr="004A710D">
        <w:rPr>
          <w:rFonts w:cs="Calibri"/>
          <w:sz w:val="22"/>
          <w:szCs w:val="22"/>
        </w:rPr>
        <w:t>One of the most widely supported methods of assessing accuracy of a classification is the confusion matrix or contingency table (</w:t>
      </w:r>
      <w:r w:rsidR="00D600B9" w:rsidRPr="004A710D">
        <w:rPr>
          <w:rFonts w:cs="Calibri"/>
          <w:sz w:val="22"/>
          <w:szCs w:val="22"/>
        </w:rPr>
        <w:t xml:space="preserve">Foody </w:t>
      </w:r>
      <w:r w:rsidR="00145E49" w:rsidRPr="004A710D">
        <w:rPr>
          <w:rFonts w:cs="Calibri"/>
          <w:sz w:val="22"/>
          <w:szCs w:val="22"/>
        </w:rPr>
        <w:t>and</w:t>
      </w:r>
      <w:r w:rsidR="00D600B9" w:rsidRPr="004A710D">
        <w:rPr>
          <w:rFonts w:cs="Calibri"/>
          <w:sz w:val="22"/>
          <w:szCs w:val="22"/>
        </w:rPr>
        <w:t xml:space="preserve"> Atkinson 2003; </w:t>
      </w:r>
      <w:r w:rsidRPr="004A710D">
        <w:rPr>
          <w:rFonts w:cs="Calibri"/>
          <w:sz w:val="22"/>
          <w:szCs w:val="22"/>
        </w:rPr>
        <w:t xml:space="preserve">Foody 2020). Confusion matrices are used to assess accuracy of a classification against independent reference data. However, the reference data itself often contains some degree of error, leading to issues with using it as a baseline for assessing classification accuracy (Foody 2002). Furthermore, finding credible reference data for historic imagery is not always possible (Morgan et al. 2010). While studies utilizing a single interpreter usually do not offer </w:t>
      </w:r>
      <w:r w:rsidRPr="004A710D">
        <w:rPr>
          <w:rFonts w:cs="Calibri"/>
          <w:sz w:val="22"/>
          <w:szCs w:val="22"/>
        </w:rPr>
        <w:lastRenderedPageBreak/>
        <w:t>any indication of variability between interpreters (</w:t>
      </w:r>
      <w:proofErr w:type="spellStart"/>
      <w:r w:rsidRPr="004A710D">
        <w:rPr>
          <w:rFonts w:cs="Calibri"/>
          <w:sz w:val="22"/>
          <w:szCs w:val="22"/>
        </w:rPr>
        <w:t>Pengra</w:t>
      </w:r>
      <w:proofErr w:type="spellEnd"/>
      <w:r w:rsidRPr="004A710D">
        <w:rPr>
          <w:rFonts w:cs="Calibri"/>
          <w:sz w:val="22"/>
          <w:szCs w:val="22"/>
        </w:rPr>
        <w:t xml:space="preserve"> et al. 2020), we used an approach similar to a confusion matrix to assess agreement and variability between interpreters. Rather than assuming one interpreter’s classification to be </w:t>
      </w:r>
      <w:r w:rsidR="00D3554C" w:rsidRPr="004A710D">
        <w:rPr>
          <w:rFonts w:cs="Calibri"/>
          <w:sz w:val="22"/>
          <w:szCs w:val="22"/>
        </w:rPr>
        <w:t>“</w:t>
      </w:r>
      <w:r w:rsidRPr="004A710D">
        <w:rPr>
          <w:rFonts w:cs="Calibri"/>
          <w:sz w:val="22"/>
          <w:szCs w:val="22"/>
        </w:rPr>
        <w:t>tru</w:t>
      </w:r>
      <w:r w:rsidR="00D3554C" w:rsidRPr="004A710D">
        <w:rPr>
          <w:rFonts w:cs="Calibri"/>
          <w:sz w:val="22"/>
          <w:szCs w:val="22"/>
        </w:rPr>
        <w:t>e”</w:t>
      </w:r>
      <w:r w:rsidRPr="004A710D">
        <w:rPr>
          <w:rFonts w:cs="Calibri"/>
          <w:sz w:val="22"/>
          <w:szCs w:val="22"/>
        </w:rPr>
        <w:t xml:space="preserve">, Table </w:t>
      </w:r>
      <w:r w:rsidR="00073CA6" w:rsidRPr="004A710D">
        <w:rPr>
          <w:rFonts w:cs="Calibri"/>
          <w:sz w:val="22"/>
          <w:szCs w:val="22"/>
        </w:rPr>
        <w:t>S</w:t>
      </w:r>
      <w:r w:rsidR="006A0120" w:rsidRPr="004A710D">
        <w:rPr>
          <w:rFonts w:cs="Calibri"/>
          <w:sz w:val="22"/>
          <w:szCs w:val="22"/>
        </w:rPr>
        <w:t>3.</w:t>
      </w:r>
      <w:r w:rsidR="005B4C99" w:rsidRPr="004A710D">
        <w:rPr>
          <w:rFonts w:cs="Calibri"/>
          <w:sz w:val="22"/>
          <w:szCs w:val="22"/>
        </w:rPr>
        <w:t>1</w:t>
      </w:r>
      <w:r w:rsidRPr="004A710D">
        <w:rPr>
          <w:rFonts w:cs="Calibri"/>
          <w:sz w:val="22"/>
          <w:szCs w:val="22"/>
        </w:rPr>
        <w:t xml:space="preserve"> is intended to represent the degree of agreement between interpreters (Foody 2002; Morgan </w:t>
      </w:r>
      <w:r w:rsidR="00145E49" w:rsidRPr="004A710D">
        <w:rPr>
          <w:rFonts w:cs="Calibri"/>
          <w:sz w:val="22"/>
          <w:szCs w:val="22"/>
        </w:rPr>
        <w:t>and</w:t>
      </w:r>
      <w:r w:rsidRPr="004A710D">
        <w:rPr>
          <w:rFonts w:cs="Calibri"/>
          <w:sz w:val="22"/>
          <w:szCs w:val="22"/>
        </w:rPr>
        <w:t xml:space="preserve"> Gergel 2013, Gerard et al.</w:t>
      </w:r>
      <w:r w:rsidR="00D600B9" w:rsidRPr="004A710D">
        <w:rPr>
          <w:rFonts w:cs="Calibri"/>
          <w:sz w:val="22"/>
          <w:szCs w:val="22"/>
        </w:rPr>
        <w:t xml:space="preserve"> </w:t>
      </w:r>
      <w:r w:rsidRPr="004A710D">
        <w:rPr>
          <w:rFonts w:cs="Calibri"/>
          <w:sz w:val="22"/>
          <w:szCs w:val="22"/>
        </w:rPr>
        <w:t xml:space="preserve">2010; </w:t>
      </w:r>
      <w:proofErr w:type="spellStart"/>
      <w:r w:rsidRPr="004A710D">
        <w:rPr>
          <w:rFonts w:cs="Calibri"/>
          <w:sz w:val="22"/>
          <w:szCs w:val="22"/>
        </w:rPr>
        <w:t>Pengra</w:t>
      </w:r>
      <w:proofErr w:type="spellEnd"/>
      <w:r w:rsidRPr="004A710D">
        <w:rPr>
          <w:rFonts w:cs="Calibri"/>
          <w:sz w:val="22"/>
          <w:szCs w:val="22"/>
        </w:rPr>
        <w:t xml:space="preserve"> et al. 2020), while Table </w:t>
      </w:r>
      <w:r w:rsidR="00073CA6" w:rsidRPr="004A710D">
        <w:rPr>
          <w:rFonts w:cs="Calibri"/>
          <w:sz w:val="22"/>
          <w:szCs w:val="22"/>
        </w:rPr>
        <w:t>S</w:t>
      </w:r>
      <w:r w:rsidR="006A0120" w:rsidRPr="004A710D">
        <w:rPr>
          <w:rFonts w:cs="Calibri"/>
          <w:sz w:val="22"/>
          <w:szCs w:val="22"/>
        </w:rPr>
        <w:t>3.</w:t>
      </w:r>
      <w:r w:rsidR="00C5572B" w:rsidRPr="004A710D">
        <w:rPr>
          <w:rFonts w:cs="Calibri"/>
          <w:sz w:val="22"/>
          <w:szCs w:val="22"/>
        </w:rPr>
        <w:t>2</w:t>
      </w:r>
      <w:r w:rsidRPr="004A710D">
        <w:rPr>
          <w:rFonts w:cs="Calibri"/>
          <w:sz w:val="22"/>
          <w:szCs w:val="22"/>
        </w:rPr>
        <w:t xml:space="preserve"> represents the practical ramifications of interpreter disagreements for interpreting detectable</w:t>
      </w:r>
      <w:r w:rsidR="00B677CD" w:rsidRPr="004A710D">
        <w:rPr>
          <w:rFonts w:cs="Calibri"/>
          <w:sz w:val="22"/>
          <w:szCs w:val="22"/>
        </w:rPr>
        <w:t xml:space="preserve"> </w:t>
      </w:r>
      <w:r w:rsidRPr="004A710D">
        <w:rPr>
          <w:rFonts w:cs="Calibri"/>
          <w:sz w:val="22"/>
          <w:szCs w:val="22"/>
        </w:rPr>
        <w:t>change</w:t>
      </w:r>
      <w:r w:rsidR="00B677CD" w:rsidRPr="004A710D">
        <w:rPr>
          <w:rFonts w:cs="Calibri"/>
          <w:sz w:val="22"/>
          <w:szCs w:val="22"/>
        </w:rPr>
        <w:t xml:space="preserve"> (Roman et al. 2021)</w:t>
      </w:r>
      <w:r w:rsidR="00A32B83" w:rsidRPr="004A710D">
        <w:rPr>
          <w:rFonts w:cs="Calibri"/>
          <w:sz w:val="22"/>
          <w:szCs w:val="22"/>
        </w:rPr>
        <w:t>.</w:t>
      </w:r>
      <w:r w:rsidR="00984275" w:rsidRPr="004A710D">
        <w:rPr>
          <w:rFonts w:cs="Calibri"/>
          <w:sz w:val="22"/>
          <w:szCs w:val="22"/>
        </w:rPr>
        <w:t xml:space="preserve"> We calculated the detectable change threshold following Roman et al. (2021). The equation for this threshold is as follows: </w:t>
      </w:r>
    </w:p>
    <w:p w14:paraId="22554BB5" w14:textId="138E5F60" w:rsidR="00804427" w:rsidRPr="004A710D" w:rsidRDefault="00804427" w:rsidP="001267CA">
      <w:pPr>
        <w:ind w:firstLine="720"/>
        <w:rPr>
          <w:rFonts w:cs="Calibri"/>
          <w:sz w:val="22"/>
          <w:szCs w:val="22"/>
        </w:rPr>
      </w:pPr>
    </w:p>
    <w:p w14:paraId="14CDBA0C" w14:textId="77777777" w:rsidR="00D3554C" w:rsidRPr="004A710D" w:rsidRDefault="00804427" w:rsidP="00804427">
      <w:pPr>
        <w:ind w:firstLine="720"/>
        <w:jc w:val="center"/>
        <w:rPr>
          <w:rFonts w:cs="Calibri"/>
          <w:sz w:val="22"/>
          <w:szCs w:val="22"/>
        </w:rPr>
      </w:pPr>
      <w:r w:rsidRPr="004A710D">
        <w:rPr>
          <w:rFonts w:cs="Calibri"/>
          <w:sz w:val="22"/>
          <w:szCs w:val="22"/>
        </w:rPr>
        <w:t>detectable change threshold = |C</w:t>
      </w:r>
      <w:r w:rsidRPr="004A710D">
        <w:rPr>
          <w:rFonts w:cs="Calibri"/>
          <w:sz w:val="22"/>
          <w:szCs w:val="22"/>
          <w:vertAlign w:val="subscript"/>
        </w:rPr>
        <w:t>1,t1</w:t>
      </w:r>
      <w:r w:rsidRPr="004A710D">
        <w:rPr>
          <w:rFonts w:cs="Calibri"/>
          <w:sz w:val="22"/>
          <w:szCs w:val="22"/>
        </w:rPr>
        <w:t xml:space="preserve"> – C</w:t>
      </w:r>
      <w:r w:rsidRPr="004A710D">
        <w:rPr>
          <w:rFonts w:cs="Calibri"/>
          <w:sz w:val="22"/>
          <w:szCs w:val="22"/>
          <w:vertAlign w:val="subscript"/>
        </w:rPr>
        <w:t>2,t1</w:t>
      </w:r>
      <w:r w:rsidRPr="004A710D">
        <w:rPr>
          <w:rFonts w:cs="Calibri"/>
          <w:sz w:val="22"/>
          <w:szCs w:val="22"/>
        </w:rPr>
        <w:t>| + |C</w:t>
      </w:r>
      <w:r w:rsidRPr="004A710D">
        <w:rPr>
          <w:rFonts w:cs="Calibri"/>
          <w:sz w:val="22"/>
          <w:szCs w:val="22"/>
          <w:vertAlign w:val="subscript"/>
        </w:rPr>
        <w:t>1,t2</w:t>
      </w:r>
      <w:r w:rsidRPr="004A710D">
        <w:rPr>
          <w:rFonts w:cs="Calibri"/>
          <w:sz w:val="22"/>
          <w:szCs w:val="22"/>
        </w:rPr>
        <w:t xml:space="preserve"> – C</w:t>
      </w:r>
      <w:r w:rsidRPr="004A710D">
        <w:rPr>
          <w:rFonts w:cs="Calibri"/>
          <w:sz w:val="22"/>
          <w:szCs w:val="22"/>
          <w:vertAlign w:val="subscript"/>
        </w:rPr>
        <w:t>2,t2</w:t>
      </w:r>
      <w:r w:rsidRPr="004A710D">
        <w:rPr>
          <w:rFonts w:cs="Calibri"/>
          <w:sz w:val="22"/>
          <w:szCs w:val="22"/>
        </w:rPr>
        <w:t>|</w:t>
      </w:r>
    </w:p>
    <w:p w14:paraId="13F6127C" w14:textId="77777777" w:rsidR="00D3554C" w:rsidRPr="004A710D" w:rsidRDefault="00D3554C" w:rsidP="00D3554C">
      <w:pPr>
        <w:rPr>
          <w:rFonts w:cs="Calibri"/>
          <w:sz w:val="22"/>
          <w:szCs w:val="22"/>
        </w:rPr>
      </w:pPr>
    </w:p>
    <w:p w14:paraId="57EDB2D3" w14:textId="12EE94B4" w:rsidR="00804427" w:rsidRPr="004A710D" w:rsidRDefault="00AA4BCB" w:rsidP="00D76B01">
      <w:pPr>
        <w:rPr>
          <w:rFonts w:cs="Calibri"/>
          <w:sz w:val="22"/>
          <w:szCs w:val="22"/>
        </w:rPr>
      </w:pPr>
      <w:r w:rsidRPr="004A710D">
        <w:rPr>
          <w:rFonts w:cs="Calibri"/>
          <w:sz w:val="22"/>
          <w:szCs w:val="22"/>
        </w:rPr>
        <w:t xml:space="preserve">where </w:t>
      </w:r>
      <w:proofErr w:type="spellStart"/>
      <w:r w:rsidRPr="004A710D">
        <w:rPr>
          <w:rFonts w:cs="Calibri"/>
          <w:sz w:val="22"/>
          <w:szCs w:val="22"/>
        </w:rPr>
        <w:t>C</w:t>
      </w:r>
      <w:r w:rsidRPr="004A710D">
        <w:rPr>
          <w:rFonts w:cs="Calibri"/>
          <w:i/>
          <w:iCs/>
          <w:sz w:val="22"/>
          <w:szCs w:val="22"/>
          <w:vertAlign w:val="subscript"/>
        </w:rPr>
        <w:t>i,t</w:t>
      </w:r>
      <w:proofErr w:type="spellEnd"/>
      <w:r w:rsidRPr="004A710D">
        <w:rPr>
          <w:rFonts w:cs="Calibri"/>
          <w:sz w:val="22"/>
          <w:szCs w:val="22"/>
        </w:rPr>
        <w:t xml:space="preserve"> is the UTC </w:t>
      </w:r>
      <w:r w:rsidR="007165FE" w:rsidRPr="004A710D">
        <w:rPr>
          <w:rFonts w:cs="Calibri"/>
          <w:sz w:val="22"/>
          <w:szCs w:val="22"/>
        </w:rPr>
        <w:t>percent</w:t>
      </w:r>
      <w:r w:rsidRPr="004A710D">
        <w:rPr>
          <w:rFonts w:cs="Calibri"/>
          <w:sz w:val="22"/>
          <w:szCs w:val="22"/>
        </w:rPr>
        <w:t xml:space="preserve"> </w:t>
      </w:r>
      <w:r w:rsidR="0055092A" w:rsidRPr="004A710D">
        <w:rPr>
          <w:rFonts w:cs="Calibri"/>
          <w:sz w:val="22"/>
          <w:szCs w:val="22"/>
        </w:rPr>
        <w:t>reported</w:t>
      </w:r>
      <w:r w:rsidRPr="004A710D">
        <w:rPr>
          <w:rFonts w:cs="Calibri"/>
          <w:sz w:val="22"/>
          <w:szCs w:val="22"/>
        </w:rPr>
        <w:t xml:space="preserve"> by interpreter </w:t>
      </w:r>
      <w:proofErr w:type="spellStart"/>
      <w:r w:rsidRPr="004A710D">
        <w:rPr>
          <w:rFonts w:cs="Calibri"/>
          <w:i/>
          <w:iCs/>
          <w:sz w:val="22"/>
          <w:szCs w:val="22"/>
        </w:rPr>
        <w:t>i</w:t>
      </w:r>
      <w:proofErr w:type="spellEnd"/>
      <w:r w:rsidRPr="004A710D">
        <w:rPr>
          <w:rFonts w:cs="Calibri"/>
          <w:sz w:val="22"/>
          <w:szCs w:val="22"/>
        </w:rPr>
        <w:t xml:space="preserve"> at time </w:t>
      </w:r>
      <w:r w:rsidRPr="004A710D">
        <w:rPr>
          <w:rFonts w:cs="Calibri"/>
          <w:i/>
          <w:iCs/>
          <w:sz w:val="22"/>
          <w:szCs w:val="22"/>
        </w:rPr>
        <w:t>t</w:t>
      </w:r>
      <w:r w:rsidR="009665B9" w:rsidRPr="004A710D">
        <w:rPr>
          <w:rFonts w:cs="Calibri"/>
          <w:sz w:val="22"/>
          <w:szCs w:val="22"/>
        </w:rPr>
        <w:t xml:space="preserve"> (Roman et al. 2021).</w:t>
      </w:r>
      <w:r w:rsidR="00D3554C" w:rsidRPr="004A710D">
        <w:rPr>
          <w:rFonts w:cs="Calibri"/>
          <w:sz w:val="22"/>
          <w:szCs w:val="22"/>
        </w:rPr>
        <w:t xml:space="preserve"> Table S3.2 provides detectable change thresholds for each time period within each park.</w:t>
      </w:r>
    </w:p>
    <w:p w14:paraId="4552C64D" w14:textId="77777777" w:rsidR="00804427" w:rsidRPr="004A710D" w:rsidRDefault="00804427" w:rsidP="001267CA">
      <w:pPr>
        <w:ind w:firstLine="720"/>
        <w:rPr>
          <w:rFonts w:cs="Calibri"/>
          <w:sz w:val="22"/>
          <w:szCs w:val="22"/>
        </w:rPr>
      </w:pPr>
    </w:p>
    <w:p w14:paraId="0A904352" w14:textId="4B9382C2" w:rsidR="001267CA" w:rsidRPr="004A710D" w:rsidRDefault="001267CA" w:rsidP="001267CA">
      <w:pPr>
        <w:rPr>
          <w:rFonts w:cs="Calibri"/>
          <w:iCs/>
          <w:sz w:val="22"/>
          <w:szCs w:val="22"/>
        </w:rPr>
      </w:pPr>
      <w:r w:rsidRPr="004A710D">
        <w:rPr>
          <w:rFonts w:cs="Calibri"/>
          <w:b/>
          <w:bCs/>
          <w:iCs/>
          <w:sz w:val="22"/>
          <w:szCs w:val="22"/>
        </w:rPr>
        <w:t xml:space="preserve">Table </w:t>
      </w:r>
      <w:r w:rsidR="00626F20" w:rsidRPr="004A710D">
        <w:rPr>
          <w:rFonts w:cs="Calibri"/>
          <w:b/>
          <w:bCs/>
          <w:iCs/>
          <w:sz w:val="22"/>
          <w:szCs w:val="22"/>
        </w:rPr>
        <w:t>S</w:t>
      </w:r>
      <w:r w:rsidR="00C060C5" w:rsidRPr="004A710D">
        <w:rPr>
          <w:rFonts w:cs="Calibri"/>
          <w:b/>
          <w:bCs/>
          <w:iCs/>
          <w:sz w:val="22"/>
          <w:szCs w:val="22"/>
        </w:rPr>
        <w:t>3.2</w:t>
      </w:r>
      <w:r w:rsidRPr="004A710D">
        <w:rPr>
          <w:rFonts w:cs="Calibri"/>
          <w:b/>
          <w:bCs/>
          <w:iCs/>
          <w:sz w:val="22"/>
          <w:szCs w:val="22"/>
        </w:rPr>
        <w:t>.</w:t>
      </w:r>
      <w:r w:rsidRPr="004A710D">
        <w:rPr>
          <w:rFonts w:cs="Calibri"/>
          <w:iCs/>
          <w:sz w:val="22"/>
          <w:szCs w:val="22"/>
        </w:rPr>
        <w:t xml:space="preserve"> Detectable change thresholds. </w:t>
      </w:r>
    </w:p>
    <w:tbl>
      <w:tblPr>
        <w:tblStyle w:val="TableGrid"/>
        <w:tblW w:w="9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6"/>
        <w:gridCol w:w="2384"/>
        <w:gridCol w:w="2610"/>
        <w:gridCol w:w="2250"/>
      </w:tblGrid>
      <w:tr w:rsidR="001267CA" w:rsidRPr="004A710D" w14:paraId="3174F913" w14:textId="77777777" w:rsidTr="00563268">
        <w:tc>
          <w:tcPr>
            <w:tcW w:w="1846" w:type="dxa"/>
            <w:tcBorders>
              <w:top w:val="single" w:sz="4" w:space="0" w:color="auto"/>
              <w:bottom w:val="single" w:sz="4" w:space="0" w:color="auto"/>
            </w:tcBorders>
            <w:vAlign w:val="center"/>
          </w:tcPr>
          <w:p w14:paraId="5B736413"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Time Period</w:t>
            </w:r>
          </w:p>
        </w:tc>
        <w:tc>
          <w:tcPr>
            <w:tcW w:w="2384" w:type="dxa"/>
            <w:tcBorders>
              <w:top w:val="single" w:sz="4" w:space="0" w:color="auto"/>
              <w:bottom w:val="single" w:sz="4" w:space="0" w:color="auto"/>
            </w:tcBorders>
            <w:vAlign w:val="center"/>
          </w:tcPr>
          <w:p w14:paraId="74D30B16"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East Fairmount Park</w:t>
            </w:r>
          </w:p>
        </w:tc>
        <w:tc>
          <w:tcPr>
            <w:tcW w:w="2610" w:type="dxa"/>
            <w:tcBorders>
              <w:top w:val="single" w:sz="4" w:space="0" w:color="auto"/>
              <w:bottom w:val="single" w:sz="4" w:space="0" w:color="auto"/>
            </w:tcBorders>
            <w:vAlign w:val="center"/>
          </w:tcPr>
          <w:p w14:paraId="5F5D3131"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West Fairmount Park</w:t>
            </w:r>
          </w:p>
        </w:tc>
        <w:tc>
          <w:tcPr>
            <w:tcW w:w="2250" w:type="dxa"/>
            <w:tcBorders>
              <w:top w:val="single" w:sz="4" w:space="0" w:color="auto"/>
              <w:bottom w:val="single" w:sz="4" w:space="0" w:color="auto"/>
            </w:tcBorders>
          </w:tcPr>
          <w:p w14:paraId="15351BB7"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Schuylkill Center</w:t>
            </w:r>
          </w:p>
        </w:tc>
      </w:tr>
      <w:tr w:rsidR="001267CA" w:rsidRPr="004A710D" w14:paraId="538C6231" w14:textId="77777777" w:rsidTr="00563268">
        <w:tc>
          <w:tcPr>
            <w:tcW w:w="1846" w:type="dxa"/>
            <w:tcBorders>
              <w:top w:val="single" w:sz="4" w:space="0" w:color="auto"/>
            </w:tcBorders>
            <w:vAlign w:val="center"/>
          </w:tcPr>
          <w:p w14:paraId="6F840D37"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1959-1980</w:t>
            </w:r>
          </w:p>
        </w:tc>
        <w:tc>
          <w:tcPr>
            <w:tcW w:w="2384" w:type="dxa"/>
            <w:tcBorders>
              <w:top w:val="single" w:sz="4" w:space="0" w:color="auto"/>
            </w:tcBorders>
            <w:vAlign w:val="center"/>
          </w:tcPr>
          <w:p w14:paraId="37FBE37A"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10.9</w:t>
            </w:r>
          </w:p>
        </w:tc>
        <w:tc>
          <w:tcPr>
            <w:tcW w:w="2610" w:type="dxa"/>
            <w:tcBorders>
              <w:top w:val="single" w:sz="4" w:space="0" w:color="auto"/>
            </w:tcBorders>
            <w:vAlign w:val="center"/>
          </w:tcPr>
          <w:p w14:paraId="555299C2"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1.8</w:t>
            </w:r>
          </w:p>
        </w:tc>
        <w:tc>
          <w:tcPr>
            <w:tcW w:w="2250" w:type="dxa"/>
            <w:tcBorders>
              <w:top w:val="single" w:sz="4" w:space="0" w:color="auto"/>
            </w:tcBorders>
          </w:tcPr>
          <w:p w14:paraId="5CE18A88"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4.9</w:t>
            </w:r>
          </w:p>
        </w:tc>
      </w:tr>
      <w:tr w:rsidR="001267CA" w:rsidRPr="004A710D" w14:paraId="54F7CC27" w14:textId="77777777" w:rsidTr="00563268">
        <w:tc>
          <w:tcPr>
            <w:tcW w:w="1846" w:type="dxa"/>
            <w:vAlign w:val="center"/>
          </w:tcPr>
          <w:p w14:paraId="4B9FC306"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1980-2000</w:t>
            </w:r>
          </w:p>
        </w:tc>
        <w:tc>
          <w:tcPr>
            <w:tcW w:w="2384" w:type="dxa"/>
            <w:vAlign w:val="center"/>
          </w:tcPr>
          <w:p w14:paraId="4B09931F"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7.7</w:t>
            </w:r>
          </w:p>
        </w:tc>
        <w:tc>
          <w:tcPr>
            <w:tcW w:w="2610" w:type="dxa"/>
            <w:vAlign w:val="center"/>
          </w:tcPr>
          <w:p w14:paraId="495DF337"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2.3</w:t>
            </w:r>
          </w:p>
        </w:tc>
        <w:tc>
          <w:tcPr>
            <w:tcW w:w="2250" w:type="dxa"/>
          </w:tcPr>
          <w:p w14:paraId="34484E7C"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3.5</w:t>
            </w:r>
          </w:p>
        </w:tc>
      </w:tr>
      <w:tr w:rsidR="001267CA" w:rsidRPr="004A710D" w14:paraId="5F5D4915" w14:textId="77777777" w:rsidTr="00563268">
        <w:tc>
          <w:tcPr>
            <w:tcW w:w="1846" w:type="dxa"/>
            <w:tcBorders>
              <w:bottom w:val="single" w:sz="4" w:space="0" w:color="auto"/>
            </w:tcBorders>
            <w:vAlign w:val="center"/>
          </w:tcPr>
          <w:p w14:paraId="415FDD98"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2000-2018</w:t>
            </w:r>
          </w:p>
        </w:tc>
        <w:tc>
          <w:tcPr>
            <w:tcW w:w="2384" w:type="dxa"/>
            <w:tcBorders>
              <w:bottom w:val="single" w:sz="4" w:space="0" w:color="auto"/>
            </w:tcBorders>
            <w:vAlign w:val="center"/>
          </w:tcPr>
          <w:p w14:paraId="15C4D980"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2.9</w:t>
            </w:r>
          </w:p>
        </w:tc>
        <w:tc>
          <w:tcPr>
            <w:tcW w:w="2610" w:type="dxa"/>
            <w:tcBorders>
              <w:bottom w:val="single" w:sz="4" w:space="0" w:color="auto"/>
            </w:tcBorders>
            <w:vAlign w:val="center"/>
          </w:tcPr>
          <w:p w14:paraId="3BD8CFB4"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2.6</w:t>
            </w:r>
          </w:p>
        </w:tc>
        <w:tc>
          <w:tcPr>
            <w:tcW w:w="2250" w:type="dxa"/>
            <w:tcBorders>
              <w:bottom w:val="single" w:sz="4" w:space="0" w:color="auto"/>
            </w:tcBorders>
          </w:tcPr>
          <w:p w14:paraId="07A4FBD2" w14:textId="77777777" w:rsidR="001267CA" w:rsidRPr="004A710D" w:rsidRDefault="001267CA" w:rsidP="00563268">
            <w:pPr>
              <w:spacing w:line="276" w:lineRule="auto"/>
              <w:jc w:val="center"/>
              <w:rPr>
                <w:rFonts w:cs="Calibri"/>
                <w:iCs/>
                <w:sz w:val="22"/>
                <w:szCs w:val="22"/>
              </w:rPr>
            </w:pPr>
            <w:r w:rsidRPr="004A710D">
              <w:rPr>
                <w:rFonts w:cs="Calibri"/>
                <w:iCs/>
                <w:sz w:val="22"/>
                <w:szCs w:val="22"/>
              </w:rPr>
              <w:t>3.3</w:t>
            </w:r>
          </w:p>
        </w:tc>
      </w:tr>
      <w:tr w:rsidR="001267CA" w:rsidRPr="004A710D" w14:paraId="6C633E89" w14:textId="77777777" w:rsidTr="00563268">
        <w:tc>
          <w:tcPr>
            <w:tcW w:w="1846" w:type="dxa"/>
            <w:tcBorders>
              <w:top w:val="single" w:sz="4" w:space="0" w:color="auto"/>
              <w:bottom w:val="single" w:sz="4" w:space="0" w:color="auto"/>
            </w:tcBorders>
            <w:vAlign w:val="center"/>
          </w:tcPr>
          <w:p w14:paraId="18C98166" w14:textId="77777777" w:rsidR="001267CA" w:rsidRPr="004A710D" w:rsidRDefault="001267CA" w:rsidP="00563268">
            <w:pPr>
              <w:spacing w:line="276" w:lineRule="auto"/>
              <w:jc w:val="center"/>
              <w:rPr>
                <w:rFonts w:cs="Calibri"/>
                <w:b/>
                <w:bCs/>
                <w:iCs/>
                <w:sz w:val="22"/>
                <w:szCs w:val="22"/>
              </w:rPr>
            </w:pPr>
            <w:r w:rsidRPr="004A710D">
              <w:rPr>
                <w:rFonts w:cs="Calibri"/>
                <w:b/>
                <w:bCs/>
                <w:iCs/>
                <w:sz w:val="22"/>
                <w:szCs w:val="22"/>
              </w:rPr>
              <w:t>1959-2018</w:t>
            </w:r>
          </w:p>
        </w:tc>
        <w:tc>
          <w:tcPr>
            <w:tcW w:w="2384" w:type="dxa"/>
            <w:tcBorders>
              <w:top w:val="single" w:sz="4" w:space="0" w:color="auto"/>
              <w:bottom w:val="single" w:sz="4" w:space="0" w:color="auto"/>
            </w:tcBorders>
            <w:vAlign w:val="center"/>
          </w:tcPr>
          <w:p w14:paraId="0575E692" w14:textId="77777777" w:rsidR="001267CA" w:rsidRPr="004A710D" w:rsidRDefault="001267CA" w:rsidP="00563268">
            <w:pPr>
              <w:spacing w:line="276" w:lineRule="auto"/>
              <w:jc w:val="center"/>
              <w:rPr>
                <w:rFonts w:cs="Calibri"/>
                <w:b/>
                <w:bCs/>
                <w:iCs/>
                <w:sz w:val="22"/>
                <w:szCs w:val="22"/>
              </w:rPr>
            </w:pPr>
            <w:r w:rsidRPr="004A710D">
              <w:rPr>
                <w:rFonts w:cs="Calibri"/>
                <w:b/>
                <w:bCs/>
                <w:iCs/>
                <w:sz w:val="22"/>
                <w:szCs w:val="22"/>
              </w:rPr>
              <w:t>6.1</w:t>
            </w:r>
          </w:p>
        </w:tc>
        <w:tc>
          <w:tcPr>
            <w:tcW w:w="2610" w:type="dxa"/>
            <w:tcBorders>
              <w:top w:val="single" w:sz="4" w:space="0" w:color="auto"/>
              <w:bottom w:val="single" w:sz="4" w:space="0" w:color="auto"/>
            </w:tcBorders>
            <w:vAlign w:val="center"/>
          </w:tcPr>
          <w:p w14:paraId="171B3194" w14:textId="77777777" w:rsidR="001267CA" w:rsidRPr="004A710D" w:rsidRDefault="001267CA" w:rsidP="00563268">
            <w:pPr>
              <w:spacing w:line="276" w:lineRule="auto"/>
              <w:jc w:val="center"/>
              <w:rPr>
                <w:rFonts w:cs="Calibri"/>
                <w:b/>
                <w:bCs/>
                <w:iCs/>
                <w:sz w:val="22"/>
                <w:szCs w:val="22"/>
              </w:rPr>
            </w:pPr>
            <w:r w:rsidRPr="004A710D">
              <w:rPr>
                <w:rFonts w:cs="Calibri"/>
                <w:b/>
                <w:bCs/>
                <w:iCs/>
                <w:sz w:val="22"/>
                <w:szCs w:val="22"/>
              </w:rPr>
              <w:t>2.1</w:t>
            </w:r>
          </w:p>
        </w:tc>
        <w:tc>
          <w:tcPr>
            <w:tcW w:w="2250" w:type="dxa"/>
            <w:tcBorders>
              <w:top w:val="single" w:sz="4" w:space="0" w:color="auto"/>
              <w:bottom w:val="single" w:sz="4" w:space="0" w:color="auto"/>
            </w:tcBorders>
          </w:tcPr>
          <w:p w14:paraId="0949B9A2" w14:textId="77777777" w:rsidR="001267CA" w:rsidRPr="004A710D" w:rsidRDefault="001267CA" w:rsidP="00563268">
            <w:pPr>
              <w:spacing w:line="276" w:lineRule="auto"/>
              <w:jc w:val="center"/>
              <w:rPr>
                <w:rFonts w:cs="Calibri"/>
                <w:b/>
                <w:bCs/>
                <w:iCs/>
                <w:sz w:val="22"/>
                <w:szCs w:val="22"/>
              </w:rPr>
            </w:pPr>
            <w:r w:rsidRPr="004A710D">
              <w:rPr>
                <w:rFonts w:cs="Calibri"/>
                <w:b/>
                <w:bCs/>
                <w:iCs/>
                <w:sz w:val="22"/>
                <w:szCs w:val="22"/>
              </w:rPr>
              <w:t>4.7</w:t>
            </w:r>
          </w:p>
        </w:tc>
      </w:tr>
    </w:tbl>
    <w:p w14:paraId="4A259074" w14:textId="77777777" w:rsidR="00C060C5" w:rsidRPr="004A710D" w:rsidRDefault="00C060C5">
      <w:pPr>
        <w:rPr>
          <w:rFonts w:cs="Calibri"/>
          <w:b/>
          <w:color w:val="000000" w:themeColor="text1"/>
          <w:sz w:val="22"/>
          <w:szCs w:val="22"/>
        </w:rPr>
      </w:pPr>
      <w:r w:rsidRPr="004A710D">
        <w:rPr>
          <w:rFonts w:cs="Calibri"/>
          <w:b/>
          <w:color w:val="000000" w:themeColor="text1"/>
          <w:sz w:val="22"/>
          <w:szCs w:val="22"/>
        </w:rPr>
        <w:br w:type="page"/>
      </w:r>
    </w:p>
    <w:p w14:paraId="438C300E" w14:textId="315250E9" w:rsidR="00357C38" w:rsidRPr="004A710D" w:rsidRDefault="00357C38" w:rsidP="00C060C5">
      <w:pPr>
        <w:rPr>
          <w:rFonts w:cs="Calibri"/>
          <w:b/>
          <w:color w:val="000000" w:themeColor="text1"/>
          <w:sz w:val="22"/>
          <w:szCs w:val="22"/>
        </w:rPr>
      </w:pPr>
      <w:r w:rsidRPr="004A710D">
        <w:rPr>
          <w:rFonts w:cs="Calibri"/>
          <w:b/>
          <w:color w:val="000000" w:themeColor="text1"/>
          <w:sz w:val="22"/>
          <w:szCs w:val="22"/>
        </w:rPr>
        <w:lastRenderedPageBreak/>
        <w:t>References</w:t>
      </w:r>
      <w:r w:rsidR="00C060C5" w:rsidRPr="004A710D">
        <w:rPr>
          <w:rFonts w:cs="Calibri"/>
          <w:b/>
          <w:color w:val="000000" w:themeColor="text1"/>
          <w:sz w:val="22"/>
          <w:szCs w:val="22"/>
        </w:rPr>
        <w:t xml:space="preserve"> for Supplementary Information</w:t>
      </w:r>
    </w:p>
    <w:p w14:paraId="6C3B3936" w14:textId="77777777" w:rsidR="00C060C5" w:rsidRPr="004A710D" w:rsidRDefault="00C060C5" w:rsidP="00C060C5">
      <w:pPr>
        <w:rPr>
          <w:rFonts w:cs="Calibri"/>
          <w:b/>
          <w:color w:val="000000" w:themeColor="text1"/>
          <w:sz w:val="22"/>
          <w:szCs w:val="22"/>
        </w:rPr>
      </w:pPr>
    </w:p>
    <w:p w14:paraId="1B888A6A" w14:textId="2F1DF33A" w:rsidR="00626F20" w:rsidRPr="004A710D" w:rsidRDefault="00626F20" w:rsidP="00626F20">
      <w:pPr>
        <w:ind w:left="360" w:hanging="360"/>
        <w:rPr>
          <w:sz w:val="22"/>
          <w:szCs w:val="22"/>
        </w:rPr>
      </w:pPr>
      <w:r w:rsidRPr="004A710D">
        <w:rPr>
          <w:sz w:val="22"/>
          <w:szCs w:val="22"/>
        </w:rPr>
        <w:t xml:space="preserve">Bonney M, He Y (2019) Attributing drivers to </w:t>
      </w:r>
      <w:proofErr w:type="spellStart"/>
      <w:r w:rsidRPr="004A710D">
        <w:rPr>
          <w:sz w:val="22"/>
          <w:szCs w:val="22"/>
        </w:rPr>
        <w:t>spatio</w:t>
      </w:r>
      <w:proofErr w:type="spellEnd"/>
      <w:r w:rsidRPr="004A710D">
        <w:rPr>
          <w:sz w:val="22"/>
          <w:szCs w:val="22"/>
        </w:rPr>
        <w:t>-temporal changes in tree density across a suburbanizing landscape since 1944. Landscape Urban Plan 192</w:t>
      </w:r>
      <w:r w:rsidR="00A84A8B" w:rsidRPr="004A710D">
        <w:rPr>
          <w:sz w:val="22"/>
          <w:szCs w:val="22"/>
        </w:rPr>
        <w:t>:103652</w:t>
      </w:r>
      <w:r w:rsidRPr="004A710D">
        <w:rPr>
          <w:sz w:val="22"/>
          <w:szCs w:val="22"/>
        </w:rPr>
        <w:t xml:space="preserve">. </w:t>
      </w:r>
      <w:hyperlink r:id="rId11" w:history="1">
        <w:r w:rsidRPr="004A710D">
          <w:rPr>
            <w:rStyle w:val="Hyperlink"/>
            <w:sz w:val="22"/>
            <w:szCs w:val="22"/>
          </w:rPr>
          <w:t>https://doi.org/10.1016/j.landurbplan.2019.103652</w:t>
        </w:r>
      </w:hyperlink>
    </w:p>
    <w:p w14:paraId="5E8669C7" w14:textId="77777777" w:rsidR="00A84A8B" w:rsidRPr="004A710D" w:rsidRDefault="00A84A8B" w:rsidP="00A84A8B">
      <w:pPr>
        <w:ind w:left="360" w:hanging="360"/>
        <w:rPr>
          <w:sz w:val="22"/>
          <w:szCs w:val="22"/>
        </w:rPr>
      </w:pPr>
      <w:r w:rsidRPr="004A710D">
        <w:rPr>
          <w:sz w:val="22"/>
          <w:szCs w:val="22"/>
        </w:rPr>
        <w:t xml:space="preserve">Bowman DMJS, Walsh A, Milne DJ (2001) Forest expansion and grassland contraction within a Eucalyptus savanna matrix between 1941 and 1994 at Litchfield National Park in the Australian monsoon tropics. Global </w:t>
      </w:r>
      <w:proofErr w:type="spellStart"/>
      <w:r w:rsidRPr="004A710D">
        <w:rPr>
          <w:sz w:val="22"/>
          <w:szCs w:val="22"/>
        </w:rPr>
        <w:t>Ecol</w:t>
      </w:r>
      <w:proofErr w:type="spellEnd"/>
      <w:r w:rsidRPr="004A710D">
        <w:rPr>
          <w:sz w:val="22"/>
          <w:szCs w:val="22"/>
        </w:rPr>
        <w:t xml:space="preserve"> </w:t>
      </w:r>
      <w:proofErr w:type="spellStart"/>
      <w:r w:rsidRPr="004A710D">
        <w:rPr>
          <w:sz w:val="22"/>
          <w:szCs w:val="22"/>
        </w:rPr>
        <w:t>Biogeogr</w:t>
      </w:r>
      <w:proofErr w:type="spellEnd"/>
      <w:r w:rsidRPr="004A710D">
        <w:rPr>
          <w:sz w:val="22"/>
          <w:szCs w:val="22"/>
        </w:rPr>
        <w:t xml:space="preserve"> 10(5):535–548. </w:t>
      </w:r>
      <w:hyperlink r:id="rId12" w:history="1">
        <w:r w:rsidRPr="004A710D">
          <w:rPr>
            <w:rStyle w:val="Hyperlink"/>
            <w:sz w:val="22"/>
            <w:szCs w:val="22"/>
          </w:rPr>
          <w:t>https://doi.org/10.1046/j.1466-822X.2001.00252.x</w:t>
        </w:r>
      </w:hyperlink>
    </w:p>
    <w:p w14:paraId="2BDC07DF" w14:textId="266CB126" w:rsidR="00A84A8B" w:rsidRPr="004A710D" w:rsidRDefault="00A84A8B" w:rsidP="00A84A8B">
      <w:pPr>
        <w:ind w:left="360" w:hanging="360"/>
        <w:rPr>
          <w:sz w:val="22"/>
          <w:szCs w:val="22"/>
        </w:rPr>
      </w:pPr>
      <w:r w:rsidRPr="004A710D">
        <w:rPr>
          <w:sz w:val="22"/>
          <w:szCs w:val="22"/>
        </w:rPr>
        <w:t xml:space="preserve">Brook BW, Bowman, DMJS (2006) Postcards from the past: Charting the landscape-scale conversion of tropical Australian savanna to closed forest during the 20th century. Landscape </w:t>
      </w:r>
      <w:proofErr w:type="spellStart"/>
      <w:r w:rsidRPr="004A710D">
        <w:rPr>
          <w:sz w:val="22"/>
          <w:szCs w:val="22"/>
        </w:rPr>
        <w:t>Ecol</w:t>
      </w:r>
      <w:proofErr w:type="spellEnd"/>
      <w:r w:rsidRPr="004A710D">
        <w:rPr>
          <w:sz w:val="22"/>
          <w:szCs w:val="22"/>
        </w:rPr>
        <w:t xml:space="preserve"> 21(8):1253. </w:t>
      </w:r>
      <w:hyperlink r:id="rId13" w:history="1">
        <w:r w:rsidRPr="004A710D">
          <w:rPr>
            <w:rStyle w:val="Hyperlink"/>
            <w:sz w:val="22"/>
            <w:szCs w:val="22"/>
          </w:rPr>
          <w:t>https://doi.org/10.1007/s10980-006-0018-7</w:t>
        </w:r>
      </w:hyperlink>
    </w:p>
    <w:p w14:paraId="0570BE75" w14:textId="77777777" w:rsidR="00357C38" w:rsidRPr="004A710D" w:rsidRDefault="00357C38" w:rsidP="00357C38">
      <w:pPr>
        <w:rPr>
          <w:sz w:val="22"/>
          <w:szCs w:val="22"/>
        </w:rPr>
      </w:pPr>
      <w:r w:rsidRPr="004A710D">
        <w:rPr>
          <w:sz w:val="22"/>
          <w:szCs w:val="22"/>
        </w:rPr>
        <w:t>Foody GM (2002) Status of land cover classification accuracy assessment. Remote Sens Environ 80(1):185–201.</w:t>
      </w:r>
    </w:p>
    <w:p w14:paraId="514741FB" w14:textId="77777777" w:rsidR="00357C38" w:rsidRPr="004A710D" w:rsidRDefault="00357C38" w:rsidP="00357C38">
      <w:pPr>
        <w:ind w:left="360" w:hanging="360"/>
        <w:rPr>
          <w:sz w:val="22"/>
          <w:szCs w:val="22"/>
        </w:rPr>
      </w:pPr>
      <w:r w:rsidRPr="004A710D">
        <w:rPr>
          <w:sz w:val="22"/>
          <w:szCs w:val="22"/>
        </w:rPr>
        <w:t xml:space="preserve">Foody GM (2020) Explaining the unsuitability of the kappa coefficient in the assessment and comparison of the accuracy of thematic maps obtained by image classification. Remote Sens Environ 239:111630. </w:t>
      </w:r>
      <w:hyperlink r:id="rId14" w:history="1">
        <w:r w:rsidRPr="004A710D">
          <w:rPr>
            <w:rStyle w:val="Hyperlink"/>
            <w:sz w:val="22"/>
            <w:szCs w:val="22"/>
          </w:rPr>
          <w:t>https://doi.org/10.1016/j.rse.2019.111630</w:t>
        </w:r>
      </w:hyperlink>
    </w:p>
    <w:p w14:paraId="35BB0BDB" w14:textId="77777777" w:rsidR="00357C38" w:rsidRPr="004A710D" w:rsidRDefault="00357C38" w:rsidP="00357C38">
      <w:pPr>
        <w:ind w:left="360" w:hanging="360"/>
        <w:rPr>
          <w:sz w:val="22"/>
          <w:szCs w:val="22"/>
        </w:rPr>
      </w:pPr>
      <w:r w:rsidRPr="004A710D">
        <w:rPr>
          <w:sz w:val="22"/>
          <w:szCs w:val="22"/>
        </w:rPr>
        <w:t>Foody GM, Atkinson PM (Eds.) (2003) Uncertainty in remote sensing and GIS. John Wiley &amp; Sons</w:t>
      </w:r>
    </w:p>
    <w:p w14:paraId="5BCDE901" w14:textId="20142418" w:rsidR="00357C38" w:rsidRPr="004A710D" w:rsidRDefault="00357C38" w:rsidP="00A84A8B">
      <w:pPr>
        <w:ind w:left="360" w:hanging="360"/>
        <w:rPr>
          <w:sz w:val="22"/>
          <w:szCs w:val="22"/>
        </w:rPr>
      </w:pPr>
      <w:r w:rsidRPr="004A710D">
        <w:rPr>
          <w:sz w:val="22"/>
          <w:szCs w:val="22"/>
        </w:rPr>
        <w:t xml:space="preserve">Gerard F, Petit S, Smith G, Thomson A, Brown N et al. (2010) Land cover change in Europe between 1950 and 2000 determined employing aerial photography. Prog Phys </w:t>
      </w:r>
      <w:proofErr w:type="spellStart"/>
      <w:r w:rsidRPr="004A710D">
        <w:rPr>
          <w:sz w:val="22"/>
          <w:szCs w:val="22"/>
        </w:rPr>
        <w:t>Geog</w:t>
      </w:r>
      <w:proofErr w:type="spellEnd"/>
      <w:r w:rsidRPr="004A710D">
        <w:rPr>
          <w:sz w:val="22"/>
          <w:szCs w:val="22"/>
        </w:rPr>
        <w:t xml:space="preserve">: Earth and Environment 34(2):183–205. </w:t>
      </w:r>
      <w:hyperlink r:id="rId15" w:history="1">
        <w:r w:rsidRPr="004A710D">
          <w:rPr>
            <w:rStyle w:val="Hyperlink"/>
            <w:sz w:val="22"/>
            <w:szCs w:val="22"/>
          </w:rPr>
          <w:t>https://doi.org/10.1177/0309133309360141</w:t>
        </w:r>
      </w:hyperlink>
    </w:p>
    <w:p w14:paraId="6315E248" w14:textId="77777777" w:rsidR="00357C38" w:rsidRPr="004A710D" w:rsidRDefault="00357C38" w:rsidP="00357C38">
      <w:pPr>
        <w:ind w:left="360" w:hanging="360"/>
        <w:rPr>
          <w:sz w:val="22"/>
          <w:szCs w:val="22"/>
        </w:rPr>
      </w:pPr>
      <w:r w:rsidRPr="004A710D">
        <w:rPr>
          <w:sz w:val="22"/>
          <w:szCs w:val="22"/>
        </w:rPr>
        <w:t xml:space="preserve">Kennedy RS, Spies TA (2004) Forest cover changes in the Oregon Coast Range from 1939 to 1993. Forest </w:t>
      </w:r>
      <w:proofErr w:type="spellStart"/>
      <w:r w:rsidRPr="004A710D">
        <w:rPr>
          <w:sz w:val="22"/>
          <w:szCs w:val="22"/>
        </w:rPr>
        <w:t>Ecol</w:t>
      </w:r>
      <w:proofErr w:type="spellEnd"/>
      <w:r w:rsidRPr="004A710D">
        <w:rPr>
          <w:sz w:val="22"/>
          <w:szCs w:val="22"/>
        </w:rPr>
        <w:t xml:space="preserve"> </w:t>
      </w:r>
      <w:proofErr w:type="spellStart"/>
      <w:r w:rsidRPr="004A710D">
        <w:rPr>
          <w:sz w:val="22"/>
          <w:szCs w:val="22"/>
        </w:rPr>
        <w:t>Manag</w:t>
      </w:r>
      <w:proofErr w:type="spellEnd"/>
      <w:r w:rsidRPr="004A710D">
        <w:rPr>
          <w:sz w:val="22"/>
          <w:szCs w:val="22"/>
        </w:rPr>
        <w:t xml:space="preserve"> 200(1–3):129–147. </w:t>
      </w:r>
      <w:hyperlink r:id="rId16" w:history="1">
        <w:r w:rsidRPr="004A710D">
          <w:rPr>
            <w:rStyle w:val="Hyperlink"/>
            <w:sz w:val="22"/>
            <w:szCs w:val="22"/>
          </w:rPr>
          <w:t>https://doi.org/doi:10.1016/j.foreco.2003.12.022</w:t>
        </w:r>
      </w:hyperlink>
    </w:p>
    <w:p w14:paraId="0C5E595D" w14:textId="77777777" w:rsidR="00073CA6" w:rsidRPr="004A710D" w:rsidRDefault="00073CA6" w:rsidP="00073CA6">
      <w:pPr>
        <w:ind w:left="360" w:hanging="360"/>
        <w:rPr>
          <w:sz w:val="22"/>
          <w:szCs w:val="22"/>
        </w:rPr>
      </w:pPr>
      <w:r w:rsidRPr="004A710D">
        <w:rPr>
          <w:sz w:val="22"/>
          <w:szCs w:val="22"/>
        </w:rPr>
        <w:t xml:space="preserve">Morgan JL, Gergel SE, Coops NC (2010) Aerial Photography: A Rapidly Evolving Tool for Ecological Management. </w:t>
      </w:r>
      <w:proofErr w:type="spellStart"/>
      <w:r w:rsidRPr="004A710D">
        <w:rPr>
          <w:sz w:val="22"/>
          <w:szCs w:val="22"/>
        </w:rPr>
        <w:t>BioScience</w:t>
      </w:r>
      <w:proofErr w:type="spellEnd"/>
      <w:r w:rsidRPr="004A710D">
        <w:rPr>
          <w:sz w:val="22"/>
          <w:szCs w:val="22"/>
        </w:rPr>
        <w:t xml:space="preserve"> 60(1):47–59. </w:t>
      </w:r>
      <w:hyperlink r:id="rId17" w:history="1">
        <w:r w:rsidRPr="004A710D">
          <w:rPr>
            <w:rStyle w:val="Hyperlink"/>
            <w:sz w:val="22"/>
            <w:szCs w:val="22"/>
          </w:rPr>
          <w:t>https://doi.org/10.1525/bio.2010.60.1.9</w:t>
        </w:r>
      </w:hyperlink>
    </w:p>
    <w:p w14:paraId="1A970CDE" w14:textId="77777777" w:rsidR="00073CA6" w:rsidRPr="004A710D" w:rsidRDefault="00073CA6" w:rsidP="00073CA6">
      <w:pPr>
        <w:ind w:left="360" w:hanging="360"/>
        <w:rPr>
          <w:sz w:val="22"/>
          <w:szCs w:val="22"/>
        </w:rPr>
      </w:pPr>
      <w:r w:rsidRPr="004A710D">
        <w:rPr>
          <w:sz w:val="22"/>
          <w:szCs w:val="22"/>
        </w:rPr>
        <w:t xml:space="preserve">Morgan JL, Gergel SE (2013) Automated analysis of aerial photographs and potential for historic forest mapping. Can J of Forest Res 43(8):699–710. </w:t>
      </w:r>
      <w:hyperlink r:id="rId18" w:history="1">
        <w:r w:rsidRPr="004A710D">
          <w:rPr>
            <w:rStyle w:val="Hyperlink"/>
            <w:sz w:val="22"/>
            <w:szCs w:val="22"/>
          </w:rPr>
          <w:t>https://doi.org/dx.doi.org/10.1139/cjfr-2012-0492</w:t>
        </w:r>
      </w:hyperlink>
    </w:p>
    <w:p w14:paraId="1A7AFC22" w14:textId="0BE203CE" w:rsidR="00073CA6" w:rsidRPr="004A710D" w:rsidRDefault="00A84A8B" w:rsidP="00A84A8B">
      <w:pPr>
        <w:ind w:left="360" w:hanging="360"/>
        <w:rPr>
          <w:sz w:val="22"/>
          <w:szCs w:val="22"/>
        </w:rPr>
      </w:pPr>
      <w:proofErr w:type="spellStart"/>
      <w:r w:rsidRPr="004A710D">
        <w:rPr>
          <w:sz w:val="22"/>
          <w:szCs w:val="22"/>
        </w:rPr>
        <w:t>Pengra</w:t>
      </w:r>
      <w:proofErr w:type="spellEnd"/>
      <w:r w:rsidRPr="004A710D">
        <w:rPr>
          <w:sz w:val="22"/>
          <w:szCs w:val="22"/>
        </w:rPr>
        <w:t xml:space="preserve"> BW, Stehman SV, Horton JA, </w:t>
      </w:r>
      <w:proofErr w:type="spellStart"/>
      <w:r w:rsidRPr="004A710D">
        <w:rPr>
          <w:sz w:val="22"/>
          <w:szCs w:val="22"/>
        </w:rPr>
        <w:t>Dockter</w:t>
      </w:r>
      <w:proofErr w:type="spellEnd"/>
      <w:r w:rsidRPr="004A710D">
        <w:rPr>
          <w:sz w:val="22"/>
          <w:szCs w:val="22"/>
        </w:rPr>
        <w:t xml:space="preserve"> DJ, Schroeder TA et al. (2020) Quality control and assessment of interpreter consistency of annual land cover reference data in an operational national monitoring program. Remote Sens Environ 238:111261. </w:t>
      </w:r>
      <w:hyperlink r:id="rId19" w:history="1">
        <w:r w:rsidRPr="004A710D">
          <w:rPr>
            <w:rStyle w:val="Hyperlink"/>
            <w:sz w:val="22"/>
            <w:szCs w:val="22"/>
          </w:rPr>
          <w:t>https://doi.org/10.1016/j.rse.2019.111261</w:t>
        </w:r>
      </w:hyperlink>
    </w:p>
    <w:p w14:paraId="6C294125" w14:textId="78B8B615" w:rsidR="00357C38" w:rsidRPr="004A710D" w:rsidRDefault="00073CA6" w:rsidP="00A84A8B">
      <w:pPr>
        <w:ind w:left="360" w:hanging="360"/>
        <w:rPr>
          <w:sz w:val="22"/>
          <w:szCs w:val="22"/>
        </w:rPr>
      </w:pPr>
      <w:r w:rsidRPr="004A710D">
        <w:rPr>
          <w:color w:val="000000" w:themeColor="text1"/>
          <w:sz w:val="22"/>
          <w:szCs w:val="22"/>
          <w:shd w:val="clear" w:color="auto" w:fill="FFFFFF"/>
        </w:rPr>
        <w:t>Roman LA, Catton IJ, Greenfield EJ, Pearsall H, Eisenman TS et al. (2021a) Linking Urban Tree Cover Change and Local History in a Post-Industrial City. Land 10(4):403.</w:t>
      </w:r>
      <w:r w:rsidRPr="004A710D">
        <w:rPr>
          <w:sz w:val="22"/>
          <w:szCs w:val="22"/>
        </w:rPr>
        <w:t xml:space="preserve"> </w:t>
      </w:r>
      <w:hyperlink r:id="rId20" w:history="1">
        <w:r w:rsidRPr="004A710D">
          <w:rPr>
            <w:rStyle w:val="Hyperlink"/>
            <w:sz w:val="22"/>
            <w:szCs w:val="22"/>
          </w:rPr>
          <w:t>https://doi.org/10.3390/land10040403</w:t>
        </w:r>
      </w:hyperlink>
    </w:p>
    <w:p w14:paraId="6A5D1DF6" w14:textId="77777777" w:rsidR="00626F20" w:rsidRPr="004A710D" w:rsidRDefault="00626F20" w:rsidP="00626F20">
      <w:pPr>
        <w:ind w:left="360" w:hanging="360"/>
        <w:rPr>
          <w:sz w:val="22"/>
          <w:szCs w:val="22"/>
        </w:rPr>
      </w:pPr>
      <w:proofErr w:type="spellStart"/>
      <w:r w:rsidRPr="004A710D">
        <w:rPr>
          <w:sz w:val="22"/>
          <w:szCs w:val="22"/>
        </w:rPr>
        <w:t>Ucar</w:t>
      </w:r>
      <w:proofErr w:type="spellEnd"/>
      <w:r w:rsidRPr="004A710D">
        <w:rPr>
          <w:sz w:val="22"/>
          <w:szCs w:val="22"/>
        </w:rPr>
        <w:t xml:space="preserve"> Z, </w:t>
      </w:r>
      <w:proofErr w:type="spellStart"/>
      <w:r w:rsidRPr="004A710D">
        <w:rPr>
          <w:sz w:val="22"/>
          <w:szCs w:val="22"/>
        </w:rPr>
        <w:t>Bettinger</w:t>
      </w:r>
      <w:proofErr w:type="spellEnd"/>
      <w:r w:rsidRPr="004A710D">
        <w:rPr>
          <w:sz w:val="22"/>
          <w:szCs w:val="22"/>
        </w:rPr>
        <w:t xml:space="preserve"> P, Merry K, </w:t>
      </w:r>
      <w:proofErr w:type="spellStart"/>
      <w:r w:rsidRPr="004A710D">
        <w:rPr>
          <w:sz w:val="22"/>
          <w:szCs w:val="22"/>
        </w:rPr>
        <w:t>Siry</w:t>
      </w:r>
      <w:proofErr w:type="spellEnd"/>
      <w:r w:rsidRPr="004A710D">
        <w:rPr>
          <w:sz w:val="22"/>
          <w:szCs w:val="22"/>
        </w:rPr>
        <w:t xml:space="preserve"> J, Bowker JM et al. (2016) A comparison of two sampling approaches for assessing the urban forest canopy cover from aerial photography. Urban For Urban </w:t>
      </w:r>
      <w:proofErr w:type="spellStart"/>
      <w:r w:rsidRPr="004A710D">
        <w:rPr>
          <w:sz w:val="22"/>
          <w:szCs w:val="22"/>
        </w:rPr>
        <w:t>Gree</w:t>
      </w:r>
      <w:proofErr w:type="spellEnd"/>
      <w:r w:rsidRPr="004A710D">
        <w:rPr>
          <w:sz w:val="22"/>
          <w:szCs w:val="22"/>
        </w:rPr>
        <w:t xml:space="preserve"> 16:221–230. </w:t>
      </w:r>
      <w:hyperlink r:id="rId21" w:history="1">
        <w:r w:rsidRPr="004A710D">
          <w:rPr>
            <w:rStyle w:val="Hyperlink"/>
            <w:sz w:val="22"/>
            <w:szCs w:val="22"/>
          </w:rPr>
          <w:t>https://doi.org/10.1016/j.ufug.2016.03.001</w:t>
        </w:r>
      </w:hyperlink>
    </w:p>
    <w:p w14:paraId="3E0023DD" w14:textId="77777777" w:rsidR="00A84A8B" w:rsidRPr="004A710D" w:rsidRDefault="00A84A8B" w:rsidP="00A84A8B">
      <w:pPr>
        <w:ind w:left="360" w:hanging="360"/>
        <w:rPr>
          <w:sz w:val="22"/>
          <w:szCs w:val="22"/>
        </w:rPr>
      </w:pPr>
      <w:r w:rsidRPr="004A710D">
        <w:rPr>
          <w:sz w:val="22"/>
          <w:szCs w:val="22"/>
        </w:rPr>
        <w:t xml:space="preserve">Zhou W, Huang G, Pickett ST, </w:t>
      </w:r>
      <w:proofErr w:type="spellStart"/>
      <w:r w:rsidRPr="004A710D">
        <w:rPr>
          <w:sz w:val="22"/>
          <w:szCs w:val="22"/>
        </w:rPr>
        <w:t>Cadenasso</w:t>
      </w:r>
      <w:proofErr w:type="spellEnd"/>
      <w:r w:rsidRPr="004A710D">
        <w:rPr>
          <w:sz w:val="22"/>
          <w:szCs w:val="22"/>
        </w:rPr>
        <w:t xml:space="preserve"> ML (2011) 90 years of forest cover change in an urbanizing watershed: Spatial and temporal dynamics. Landscape </w:t>
      </w:r>
      <w:proofErr w:type="spellStart"/>
      <w:r w:rsidRPr="004A710D">
        <w:rPr>
          <w:sz w:val="22"/>
          <w:szCs w:val="22"/>
        </w:rPr>
        <w:t>Ecol</w:t>
      </w:r>
      <w:proofErr w:type="spellEnd"/>
      <w:r w:rsidRPr="004A710D">
        <w:rPr>
          <w:sz w:val="22"/>
          <w:szCs w:val="22"/>
        </w:rPr>
        <w:t xml:space="preserve"> 26(5):645. </w:t>
      </w:r>
      <w:hyperlink r:id="rId22" w:history="1">
        <w:r w:rsidRPr="004A710D">
          <w:rPr>
            <w:rStyle w:val="Hyperlink"/>
            <w:sz w:val="22"/>
            <w:szCs w:val="22"/>
          </w:rPr>
          <w:t>https://doi.org/10.1007/s10980-011-9589-z</w:t>
        </w:r>
      </w:hyperlink>
    </w:p>
    <w:p w14:paraId="7DC84A85" w14:textId="77777777" w:rsidR="00357C38" w:rsidRPr="004A710D" w:rsidRDefault="00357C38" w:rsidP="00DE1CC5">
      <w:pPr>
        <w:ind w:firstLine="720"/>
        <w:rPr>
          <w:rFonts w:cs="Calibri"/>
          <w:bCs/>
          <w:color w:val="000000" w:themeColor="text1"/>
          <w:sz w:val="22"/>
          <w:szCs w:val="22"/>
        </w:rPr>
      </w:pPr>
    </w:p>
    <w:sectPr w:rsidR="00357C38" w:rsidRPr="004A710D" w:rsidSect="004A710D">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w:panose1 w:val="02000500000000000000"/>
    <w:charset w:val="00"/>
    <w:family w:val="auto"/>
    <w:pitch w:val="variable"/>
    <w:sig w:usb0="E00002FF" w:usb1="5000205A" w:usb2="00000000" w:usb3="00000000" w:csb0="0000019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BA1E965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B9A2D7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CB6A1F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82C815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D124A7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59837B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B6B44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5DCE9A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AB43C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2CF2DE"/>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4"/>
  <w:proofState w:spelling="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7CA"/>
    <w:rsid w:val="00050563"/>
    <w:rsid w:val="00073CA6"/>
    <w:rsid w:val="001267CA"/>
    <w:rsid w:val="00145E49"/>
    <w:rsid w:val="001627E8"/>
    <w:rsid w:val="0017568D"/>
    <w:rsid w:val="00180200"/>
    <w:rsid w:val="001C4A84"/>
    <w:rsid w:val="001E5BC9"/>
    <w:rsid w:val="00202C46"/>
    <w:rsid w:val="00220D6C"/>
    <w:rsid w:val="00267934"/>
    <w:rsid w:val="00296A36"/>
    <w:rsid w:val="00346F46"/>
    <w:rsid w:val="00357C38"/>
    <w:rsid w:val="00362762"/>
    <w:rsid w:val="003921BB"/>
    <w:rsid w:val="004156F2"/>
    <w:rsid w:val="0048121A"/>
    <w:rsid w:val="004A710D"/>
    <w:rsid w:val="00540A71"/>
    <w:rsid w:val="0055092A"/>
    <w:rsid w:val="005666C0"/>
    <w:rsid w:val="0058773E"/>
    <w:rsid w:val="005B4C99"/>
    <w:rsid w:val="00617F32"/>
    <w:rsid w:val="00626F20"/>
    <w:rsid w:val="006363DA"/>
    <w:rsid w:val="0064580F"/>
    <w:rsid w:val="00654D6A"/>
    <w:rsid w:val="00681AEF"/>
    <w:rsid w:val="006A0120"/>
    <w:rsid w:val="007165FE"/>
    <w:rsid w:val="0077313C"/>
    <w:rsid w:val="00804427"/>
    <w:rsid w:val="008216EC"/>
    <w:rsid w:val="00841B6F"/>
    <w:rsid w:val="0084743A"/>
    <w:rsid w:val="00864BBD"/>
    <w:rsid w:val="008D64B0"/>
    <w:rsid w:val="008F1BD7"/>
    <w:rsid w:val="009665B9"/>
    <w:rsid w:val="00973E11"/>
    <w:rsid w:val="00984275"/>
    <w:rsid w:val="0099460B"/>
    <w:rsid w:val="009E24BA"/>
    <w:rsid w:val="00A32B83"/>
    <w:rsid w:val="00A57372"/>
    <w:rsid w:val="00A60F6B"/>
    <w:rsid w:val="00A71C3D"/>
    <w:rsid w:val="00A84A8B"/>
    <w:rsid w:val="00AA4BCB"/>
    <w:rsid w:val="00AB656A"/>
    <w:rsid w:val="00B4261A"/>
    <w:rsid w:val="00B46AA2"/>
    <w:rsid w:val="00B677CD"/>
    <w:rsid w:val="00BC1F5D"/>
    <w:rsid w:val="00C060C5"/>
    <w:rsid w:val="00C2383B"/>
    <w:rsid w:val="00C5572B"/>
    <w:rsid w:val="00D3554C"/>
    <w:rsid w:val="00D4576F"/>
    <w:rsid w:val="00D45B24"/>
    <w:rsid w:val="00D5514A"/>
    <w:rsid w:val="00D600B9"/>
    <w:rsid w:val="00D76B01"/>
    <w:rsid w:val="00D83798"/>
    <w:rsid w:val="00DD7619"/>
    <w:rsid w:val="00DE1CC5"/>
    <w:rsid w:val="00E17278"/>
    <w:rsid w:val="00E227F4"/>
    <w:rsid w:val="00E76466"/>
    <w:rsid w:val="00EF7336"/>
    <w:rsid w:val="00F30CA8"/>
    <w:rsid w:val="00F407C2"/>
    <w:rsid w:val="00F70CAF"/>
    <w:rsid w:val="00F92700"/>
    <w:rsid w:val="00FF25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D7434"/>
  <w15:chartTrackingRefBased/>
  <w15:docId w15:val="{DF1AAECD-84BD-E746-8C25-0FF6EB6AF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10D"/>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67C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267CA"/>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1267CA"/>
    <w:rPr>
      <w:sz w:val="18"/>
      <w:szCs w:val="18"/>
    </w:rPr>
  </w:style>
  <w:style w:type="paragraph" w:styleId="CommentText">
    <w:name w:val="annotation text"/>
    <w:basedOn w:val="Normal"/>
    <w:link w:val="CommentTextChar"/>
    <w:uiPriority w:val="99"/>
    <w:unhideWhenUsed/>
    <w:rsid w:val="001267CA"/>
    <w:rPr>
      <w:rFonts w:ascii="Times New Roman" w:eastAsia="Times New Roman" w:hAnsi="Times New Roman" w:cs="Times New Roman"/>
    </w:rPr>
  </w:style>
  <w:style w:type="character" w:customStyle="1" w:styleId="CommentTextChar">
    <w:name w:val="Comment Text Char"/>
    <w:basedOn w:val="DefaultParagraphFont"/>
    <w:link w:val="CommentText"/>
    <w:uiPriority w:val="99"/>
    <w:rsid w:val="001267CA"/>
    <w:rPr>
      <w:rFonts w:ascii="Times New Roman" w:eastAsia="Times New Roman" w:hAnsi="Times New Roman" w:cs="Times New Roman"/>
    </w:rPr>
  </w:style>
  <w:style w:type="table" w:styleId="TableGrid">
    <w:name w:val="Table Grid"/>
    <w:basedOn w:val="TableNormal"/>
    <w:uiPriority w:val="39"/>
    <w:rsid w:val="001267CA"/>
    <w:rPr>
      <w:rFonts w:ascii="Cambria" w:eastAsia="Cambria" w:hAnsi="Cambria"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C2383B"/>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C2383B"/>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AB656A"/>
    <w:rPr>
      <w:color w:val="0000FF"/>
      <w:u w:val="single"/>
    </w:rPr>
  </w:style>
  <w:style w:type="character" w:styleId="PlaceholderText">
    <w:name w:val="Placeholder Text"/>
    <w:basedOn w:val="DefaultParagraphFont"/>
    <w:uiPriority w:val="99"/>
    <w:semiHidden/>
    <w:rsid w:val="003921BB"/>
    <w:rPr>
      <w:color w:val="808080"/>
    </w:rPr>
  </w:style>
  <w:style w:type="paragraph" w:styleId="Revision">
    <w:name w:val="Revision"/>
    <w:hidden/>
    <w:uiPriority w:val="99"/>
    <w:semiHidden/>
    <w:rsid w:val="00A71C3D"/>
  </w:style>
  <w:style w:type="character" w:styleId="LineNumber">
    <w:name w:val="line number"/>
    <w:basedOn w:val="DefaultParagraphFont"/>
    <w:uiPriority w:val="99"/>
    <w:semiHidden/>
    <w:unhideWhenUsed/>
    <w:rsid w:val="00D76B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4560737">
      <w:bodyDiv w:val="1"/>
      <w:marLeft w:val="0"/>
      <w:marRight w:val="0"/>
      <w:marTop w:val="0"/>
      <w:marBottom w:val="0"/>
      <w:divBdr>
        <w:top w:val="none" w:sz="0" w:space="0" w:color="auto"/>
        <w:left w:val="none" w:sz="0" w:space="0" w:color="auto"/>
        <w:bottom w:val="none" w:sz="0" w:space="0" w:color="auto"/>
        <w:right w:val="none" w:sz="0" w:space="0" w:color="auto"/>
      </w:divBdr>
      <w:divsChild>
        <w:div w:id="1409764466">
          <w:marLeft w:val="0"/>
          <w:marRight w:val="0"/>
          <w:marTop w:val="0"/>
          <w:marBottom w:val="0"/>
          <w:divBdr>
            <w:top w:val="none" w:sz="0" w:space="0" w:color="auto"/>
            <w:left w:val="none" w:sz="0" w:space="0" w:color="auto"/>
            <w:bottom w:val="none" w:sz="0" w:space="0" w:color="auto"/>
            <w:right w:val="none" w:sz="0" w:space="0" w:color="auto"/>
          </w:divBdr>
          <w:divsChild>
            <w:div w:id="1415977304">
              <w:marLeft w:val="0"/>
              <w:marRight w:val="0"/>
              <w:marTop w:val="0"/>
              <w:marBottom w:val="0"/>
              <w:divBdr>
                <w:top w:val="none" w:sz="0" w:space="0" w:color="auto"/>
                <w:left w:val="none" w:sz="0" w:space="0" w:color="auto"/>
                <w:bottom w:val="none" w:sz="0" w:space="0" w:color="auto"/>
                <w:right w:val="none" w:sz="0" w:space="0" w:color="auto"/>
              </w:divBdr>
              <w:divsChild>
                <w:div w:id="200527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963954">
      <w:bodyDiv w:val="1"/>
      <w:marLeft w:val="0"/>
      <w:marRight w:val="0"/>
      <w:marTop w:val="0"/>
      <w:marBottom w:val="0"/>
      <w:divBdr>
        <w:top w:val="none" w:sz="0" w:space="0" w:color="auto"/>
        <w:left w:val="none" w:sz="0" w:space="0" w:color="auto"/>
        <w:bottom w:val="none" w:sz="0" w:space="0" w:color="auto"/>
        <w:right w:val="none" w:sz="0" w:space="0" w:color="auto"/>
      </w:divBdr>
      <w:divsChild>
        <w:div w:id="1083574659">
          <w:marLeft w:val="0"/>
          <w:marRight w:val="0"/>
          <w:marTop w:val="0"/>
          <w:marBottom w:val="0"/>
          <w:divBdr>
            <w:top w:val="none" w:sz="0" w:space="0" w:color="auto"/>
            <w:left w:val="none" w:sz="0" w:space="0" w:color="auto"/>
            <w:bottom w:val="none" w:sz="0" w:space="0" w:color="auto"/>
            <w:right w:val="none" w:sz="0" w:space="0" w:color="auto"/>
          </w:divBdr>
          <w:divsChild>
            <w:div w:id="20014235">
              <w:marLeft w:val="0"/>
              <w:marRight w:val="0"/>
              <w:marTop w:val="0"/>
              <w:marBottom w:val="0"/>
              <w:divBdr>
                <w:top w:val="none" w:sz="0" w:space="0" w:color="auto"/>
                <w:left w:val="none" w:sz="0" w:space="0" w:color="auto"/>
                <w:bottom w:val="none" w:sz="0" w:space="0" w:color="auto"/>
                <w:right w:val="none" w:sz="0" w:space="0" w:color="auto"/>
              </w:divBdr>
              <w:divsChild>
                <w:div w:id="174745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healy@clarku.edu" TargetMode="External"/><Relationship Id="rId13" Type="http://schemas.openxmlformats.org/officeDocument/2006/relationships/hyperlink" Target="https://doi.org/10.1007/s10980-006-0018-7" TargetMode="External"/><Relationship Id="rId18" Type="http://schemas.openxmlformats.org/officeDocument/2006/relationships/hyperlink" Target="https://doi.org/dx.doi.org/10.1139/cjfr-2012-0492" TargetMode="External"/><Relationship Id="rId3" Type="http://schemas.openxmlformats.org/officeDocument/2006/relationships/styles" Target="styles.xml"/><Relationship Id="rId21" Type="http://schemas.openxmlformats.org/officeDocument/2006/relationships/hyperlink" Target="https://doi.org/10.1016/j.ufug.2016.03.001" TargetMode="External"/><Relationship Id="rId7" Type="http://schemas.openxmlformats.org/officeDocument/2006/relationships/hyperlink" Target="mailto:lara.roman@usda.gov" TargetMode="External"/><Relationship Id="rId12" Type="http://schemas.openxmlformats.org/officeDocument/2006/relationships/hyperlink" Target="https://doi.org/10.1046/j.1466-822X.2001.00252.x" TargetMode="External"/><Relationship Id="rId17" Type="http://schemas.openxmlformats.org/officeDocument/2006/relationships/hyperlink" Target="https://doi.org/10.1525/bio.2010.60.1.9" TargetMode="External"/><Relationship Id="rId2" Type="http://schemas.openxmlformats.org/officeDocument/2006/relationships/numbering" Target="numbering.xml"/><Relationship Id="rId16" Type="http://schemas.openxmlformats.org/officeDocument/2006/relationships/hyperlink" Target="https://doi.org/doi:10.1016/j.foreco.2003.12.022" TargetMode="External"/><Relationship Id="rId20" Type="http://schemas.openxmlformats.org/officeDocument/2006/relationships/hyperlink" Target="https://doi.org/10.3390/land10040403" TargetMode="External"/><Relationship Id="rId1" Type="http://schemas.openxmlformats.org/officeDocument/2006/relationships/customXml" Target="../customXml/item1.xml"/><Relationship Id="rId6" Type="http://schemas.openxmlformats.org/officeDocument/2006/relationships/hyperlink" Target="mailto:nixs@sas.upenn.edu" TargetMode="External"/><Relationship Id="rId11" Type="http://schemas.openxmlformats.org/officeDocument/2006/relationships/hyperlink" Target="https://doi.org/10.1016/j.landurbplan.2019.103652"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177/0309133309360141" TargetMode="External"/><Relationship Id="rId23" Type="http://schemas.openxmlformats.org/officeDocument/2006/relationships/fontTable" Target="fontTable.xml"/><Relationship Id="rId10" Type="http://schemas.openxmlformats.org/officeDocument/2006/relationships/hyperlink" Target="mailto:hamil.pearsall@temple.edu" TargetMode="External"/><Relationship Id="rId19" Type="http://schemas.openxmlformats.org/officeDocument/2006/relationships/hyperlink" Target="https://doi.org/10.1016/j.rse.2019.111261" TargetMode="External"/><Relationship Id="rId4" Type="http://schemas.openxmlformats.org/officeDocument/2006/relationships/settings" Target="settings.xml"/><Relationship Id="rId9" Type="http://schemas.openxmlformats.org/officeDocument/2006/relationships/hyperlink" Target="mailto:jrogan@clarku.edu" TargetMode="External"/><Relationship Id="rId14" Type="http://schemas.openxmlformats.org/officeDocument/2006/relationships/hyperlink" Target="https://doi.org/10.1016/j.rse.2019.111630" TargetMode="External"/><Relationship Id="rId22" Type="http://schemas.openxmlformats.org/officeDocument/2006/relationships/hyperlink" Target="https://doi.org/10.1007/s10980-011-9589-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2B2315-1E6A-014F-8932-E53BFB497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1432</Words>
  <Characters>8165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 Nix</dc:creator>
  <cp:keywords/>
  <dc:description/>
  <cp:lastModifiedBy>Sabine Nix</cp:lastModifiedBy>
  <cp:revision>3</cp:revision>
  <dcterms:created xsi:type="dcterms:W3CDTF">2021-10-11T22:35:00Z</dcterms:created>
  <dcterms:modified xsi:type="dcterms:W3CDTF">2021-10-12T20:41:00Z</dcterms:modified>
</cp:coreProperties>
</file>