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29C7C" w14:textId="5198ED4D" w:rsidR="00424511" w:rsidRDefault="00000000">
      <w:pPr>
        <w:spacing w:after="171" w:line="259" w:lineRule="auto"/>
        <w:ind w:left="533" w:right="0" w:firstLine="0"/>
        <w:jc w:val="left"/>
        <w:rPr>
          <w:b/>
          <w:bCs/>
          <w:color w:val="000000"/>
          <w:sz w:val="24"/>
          <w:szCs w:val="28"/>
        </w:rPr>
      </w:pPr>
      <w:r w:rsidRPr="00C4159B">
        <w:rPr>
          <w:b/>
          <w:bCs/>
          <w:color w:val="000000"/>
          <w:sz w:val="22"/>
          <w:szCs w:val="28"/>
        </w:rPr>
        <w:t xml:space="preserve">                                                 </w:t>
      </w:r>
      <w:r w:rsidRPr="00C4159B">
        <w:rPr>
          <w:b/>
          <w:bCs/>
          <w:color w:val="000000"/>
          <w:sz w:val="24"/>
          <w:szCs w:val="28"/>
        </w:rPr>
        <w:t>S</w:t>
      </w:r>
      <w:r w:rsidR="00615563">
        <w:rPr>
          <w:b/>
          <w:bCs/>
          <w:color w:val="000000"/>
          <w:sz w:val="24"/>
          <w:szCs w:val="28"/>
        </w:rPr>
        <w:t>UPPLEMENTAL MATERIALS</w:t>
      </w:r>
    </w:p>
    <w:p w14:paraId="256D43DF" w14:textId="77777777" w:rsidR="00615563" w:rsidRPr="00BC44E5" w:rsidRDefault="00615563" w:rsidP="00615563">
      <w:pPr>
        <w:spacing w:line="360" w:lineRule="auto"/>
        <w:ind w:left="-142" w:right="-694"/>
        <w:rPr>
          <w:b/>
          <w:bCs/>
          <w:sz w:val="24"/>
        </w:rPr>
      </w:pPr>
      <w:r w:rsidRPr="00BC44E5">
        <w:rPr>
          <w:b/>
          <w:bCs/>
          <w:sz w:val="24"/>
        </w:rPr>
        <w:t>Development of a G-Quadruplex-Forming DNA Aptamer Against EGFR-Driven Malignancies</w:t>
      </w:r>
    </w:p>
    <w:p w14:paraId="6BD18FEF" w14:textId="77777777" w:rsidR="00615563" w:rsidRPr="003E2AEF" w:rsidRDefault="00615563" w:rsidP="00615563">
      <w:pPr>
        <w:spacing w:line="360" w:lineRule="auto"/>
        <w:ind w:left="-142" w:right="-694"/>
        <w:rPr>
          <w:color w:val="000000" w:themeColor="text1"/>
        </w:rPr>
      </w:pPr>
      <w:r w:rsidRPr="003E2AEF">
        <w:t>Deepa Singh</w:t>
      </w:r>
      <w:r w:rsidRPr="003E2AEF">
        <w:rPr>
          <w:vertAlign w:val="superscript"/>
        </w:rPr>
        <w:t>1</w:t>
      </w:r>
      <w:r w:rsidRPr="003E2AEF">
        <w:t>, Vikas Kumar</w:t>
      </w:r>
      <w:r w:rsidRPr="003E2AEF">
        <w:rPr>
          <w:vertAlign w:val="superscript"/>
        </w:rPr>
        <w:t>1</w:t>
      </w:r>
      <w:r w:rsidRPr="003E2AEF">
        <w:t>, A</w:t>
      </w:r>
      <w:r>
        <w:t>kash</w:t>
      </w:r>
      <w:r w:rsidRPr="003E2AEF">
        <w:t xml:space="preserve"> Kumar</w:t>
      </w:r>
      <w:r w:rsidRPr="003E2AEF">
        <w:rPr>
          <w:vertAlign w:val="superscript"/>
        </w:rPr>
        <w:t>2</w:t>
      </w:r>
      <w:r w:rsidRPr="003E2AEF">
        <w:t>, Tushar Kushwaha</w:t>
      </w:r>
      <w:r w:rsidRPr="003E2AEF">
        <w:rPr>
          <w:vertAlign w:val="superscript"/>
        </w:rPr>
        <w:t>1</w:t>
      </w:r>
      <w:r w:rsidRPr="003E2AEF">
        <w:t>, Kamal Baswal</w:t>
      </w:r>
      <w:r w:rsidRPr="003E2AEF">
        <w:rPr>
          <w:vertAlign w:val="superscript"/>
        </w:rPr>
        <w:t>1</w:t>
      </w:r>
      <w:r w:rsidRPr="003E2AEF">
        <w:t xml:space="preserve">, </w:t>
      </w:r>
      <w:r>
        <w:t>Rajkumar Kulandaisamy</w:t>
      </w:r>
      <w:r w:rsidRPr="003530E1">
        <w:rPr>
          <w:vertAlign w:val="superscript"/>
        </w:rPr>
        <w:t>1</w:t>
      </w:r>
      <w:r>
        <w:t xml:space="preserve">, </w:t>
      </w:r>
      <w:r w:rsidRPr="003E2AEF">
        <w:t>Manoj Kumar</w:t>
      </w:r>
      <w:r w:rsidRPr="003E2AEF">
        <w:rPr>
          <w:vertAlign w:val="superscript"/>
        </w:rPr>
        <w:t>1</w:t>
      </w:r>
      <w:r w:rsidRPr="003E2AEF">
        <w:t>, Saroj Kumar</w:t>
      </w:r>
      <w:r w:rsidRPr="003E2AEF">
        <w:rPr>
          <w:vertAlign w:val="superscript"/>
        </w:rPr>
        <w:t>1</w:t>
      </w:r>
      <w:r w:rsidRPr="003E2AEF">
        <w:t>, Prabhat Singh Malik</w:t>
      </w:r>
      <w:r w:rsidRPr="003E2AEF">
        <w:rPr>
          <w:vertAlign w:val="superscript"/>
        </w:rPr>
        <w:t>3</w:t>
      </w:r>
      <w:r w:rsidRPr="003E2AEF">
        <w:t>, Tailor Prafullakumar</w:t>
      </w:r>
      <w:r w:rsidRPr="003E2AEF">
        <w:rPr>
          <w:vertAlign w:val="superscript"/>
        </w:rPr>
        <w:t>4</w:t>
      </w:r>
      <w:r w:rsidRPr="003E2AEF">
        <w:t>, Deepak Seghal</w:t>
      </w:r>
      <w:r w:rsidRPr="003E2AEF">
        <w:rPr>
          <w:vertAlign w:val="superscript"/>
        </w:rPr>
        <w:t>2</w:t>
      </w:r>
      <w:r w:rsidRPr="003E2AEF">
        <w:rPr>
          <w:color w:val="000000" w:themeColor="text1"/>
        </w:rPr>
        <w:t xml:space="preserve">, </w:t>
      </w:r>
      <w:r w:rsidRPr="003E2AEF">
        <w:t>Tarun Kumar Sharma</w:t>
      </w:r>
      <w:r w:rsidRPr="003E2AEF">
        <w:rPr>
          <w:vertAlign w:val="superscript"/>
        </w:rPr>
        <w:t>5</w:t>
      </w:r>
      <w:r w:rsidRPr="003E2AEF">
        <w:t>, Mohan Babu Appaiahgari</w:t>
      </w:r>
      <w:r w:rsidRPr="003E2AEF">
        <w:rPr>
          <w:vertAlign w:val="superscript"/>
        </w:rPr>
        <w:t>6*</w:t>
      </w:r>
      <w:r w:rsidRPr="003E2AEF">
        <w:rPr>
          <w:color w:val="000000" w:themeColor="text1"/>
        </w:rPr>
        <w:t xml:space="preserve">, </w:t>
      </w:r>
      <w:r w:rsidRPr="003E2AEF">
        <w:t>Krishna K. Inampudi</w:t>
      </w:r>
      <w:r w:rsidRPr="003E2AEF">
        <w:rPr>
          <w:vertAlign w:val="superscript"/>
        </w:rPr>
        <w:t>1</w:t>
      </w:r>
      <w:r w:rsidRPr="003E2AEF">
        <w:rPr>
          <w:color w:val="000000" w:themeColor="text1"/>
          <w:vertAlign w:val="superscript"/>
        </w:rPr>
        <w:t>*</w:t>
      </w:r>
    </w:p>
    <w:p w14:paraId="618BC06E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rPr>
          <w:vertAlign w:val="superscript"/>
        </w:rPr>
        <w:t>1</w:t>
      </w:r>
      <w:r w:rsidRPr="003E2AEF">
        <w:t xml:space="preserve"> Department of Biophysics, All India Institute of Medical Sciences, New Delhi, Delhi 110029, India</w:t>
      </w:r>
    </w:p>
    <w:p w14:paraId="4962187F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rPr>
          <w:vertAlign w:val="superscript"/>
        </w:rPr>
        <w:t xml:space="preserve">2 </w:t>
      </w:r>
      <w:r w:rsidRPr="003E2AEF">
        <w:t>Virology Lab, Department of Life Sciences, Shiv Nadar University, Greater Noida, Uttar Pradesh 201314, India</w:t>
      </w:r>
    </w:p>
    <w:p w14:paraId="5352A67D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rPr>
          <w:vertAlign w:val="superscript"/>
        </w:rPr>
        <w:t>3</w:t>
      </w:r>
      <w:r w:rsidRPr="003E2AEF">
        <w:t xml:space="preserve"> Department of Medical Oncology, All India Institute of Medical Sciences, New Delhi 110029, India</w:t>
      </w:r>
    </w:p>
    <w:p w14:paraId="24C9E7E6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rPr>
          <w:vertAlign w:val="superscript"/>
        </w:rPr>
        <w:t xml:space="preserve">4 </w:t>
      </w:r>
      <w:r w:rsidRPr="003E2AEF">
        <w:t>Laboratory of Innate Immunity, National Institute of Immunology, New Delhi, India</w:t>
      </w:r>
    </w:p>
    <w:p w14:paraId="70D217E7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rPr>
          <w:vertAlign w:val="superscript"/>
        </w:rPr>
        <w:t xml:space="preserve">5 </w:t>
      </w:r>
      <w:r w:rsidRPr="003E2AEF">
        <w:t>Department of Medical Devices National Institute of Pharmaceutical Education and Research (NIPER), Mohali, Punjab 160062, India</w:t>
      </w:r>
    </w:p>
    <w:p w14:paraId="46EBDF58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rPr>
          <w:vertAlign w:val="superscript"/>
        </w:rPr>
        <w:t>6</w:t>
      </w:r>
      <w:r w:rsidRPr="003E2AEF">
        <w:t xml:space="preserve"> Laboratory for Multidisciplinary Research in Virology, </w:t>
      </w:r>
      <w:proofErr w:type="spellStart"/>
      <w:r w:rsidRPr="003E2AEF">
        <w:t>Yenepoya</w:t>
      </w:r>
      <w:proofErr w:type="spellEnd"/>
      <w:r w:rsidRPr="003E2AEF">
        <w:t xml:space="preserve"> (deemed to be) University, </w:t>
      </w:r>
      <w:proofErr w:type="spellStart"/>
      <w:r w:rsidRPr="003E2AEF">
        <w:t>Deralakatte</w:t>
      </w:r>
      <w:proofErr w:type="spellEnd"/>
      <w:r w:rsidRPr="003E2AEF">
        <w:t xml:space="preserve">, </w:t>
      </w:r>
      <w:proofErr w:type="spellStart"/>
      <w:r w:rsidRPr="003E2AEF">
        <w:t>Mangaluru</w:t>
      </w:r>
      <w:proofErr w:type="spellEnd"/>
      <w:r w:rsidRPr="003E2AEF">
        <w:t xml:space="preserve"> - 575018, Karnataka, India</w:t>
      </w:r>
    </w:p>
    <w:p w14:paraId="61E4187F" w14:textId="77777777" w:rsidR="00615563" w:rsidRPr="003E2AEF" w:rsidRDefault="00615563" w:rsidP="00615563">
      <w:pPr>
        <w:spacing w:line="360" w:lineRule="auto"/>
        <w:ind w:left="-142" w:right="-694"/>
        <w:rPr>
          <w:b/>
          <w:bCs/>
        </w:rPr>
      </w:pPr>
      <w:r w:rsidRPr="003E2AEF">
        <w:rPr>
          <w:b/>
          <w:bCs/>
        </w:rPr>
        <w:t>*Corresponding Authors:</w:t>
      </w:r>
    </w:p>
    <w:p w14:paraId="068C9EB3" w14:textId="77777777" w:rsidR="00615563" w:rsidRPr="003E2AEF" w:rsidRDefault="00615563" w:rsidP="00615563">
      <w:pPr>
        <w:spacing w:line="360" w:lineRule="auto"/>
        <w:ind w:left="-142" w:right="-694"/>
        <w:rPr>
          <w:b/>
          <w:bCs/>
        </w:rPr>
      </w:pPr>
      <w:r w:rsidRPr="003E2AEF">
        <w:rPr>
          <w:b/>
          <w:bCs/>
        </w:rPr>
        <w:t>Dr. Krishna K Inampudi</w:t>
      </w:r>
    </w:p>
    <w:p w14:paraId="5BB0F558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t>Additional Professor</w:t>
      </w:r>
    </w:p>
    <w:p w14:paraId="2EC11347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t>Department of Biophysics</w:t>
      </w:r>
    </w:p>
    <w:p w14:paraId="400D4A42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t xml:space="preserve">All India Institute of Medical Sciences (AIIMS), </w:t>
      </w:r>
    </w:p>
    <w:p w14:paraId="58E69A0B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t>Ansari Nagar, New Delhi-110 029, India</w:t>
      </w:r>
    </w:p>
    <w:p w14:paraId="21B0908F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t>Telephone: +91-11-2659 3834</w:t>
      </w:r>
    </w:p>
    <w:p w14:paraId="0DA67B65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t>Email id: krishna.inampudi@aiims.edu, kishorehcu@gmail.com</w:t>
      </w:r>
    </w:p>
    <w:p w14:paraId="46D88312" w14:textId="77777777" w:rsidR="00615563" w:rsidRPr="003E2AEF" w:rsidRDefault="00615563" w:rsidP="00615563">
      <w:pPr>
        <w:spacing w:line="360" w:lineRule="auto"/>
        <w:ind w:left="-142" w:right="-694"/>
        <w:rPr>
          <w:b/>
          <w:bCs/>
        </w:rPr>
      </w:pPr>
      <w:r w:rsidRPr="003E2AEF">
        <w:rPr>
          <w:b/>
          <w:bCs/>
        </w:rPr>
        <w:t xml:space="preserve">Dr. Mohan B </w:t>
      </w:r>
      <w:proofErr w:type="spellStart"/>
      <w:r w:rsidRPr="003E2AEF">
        <w:rPr>
          <w:b/>
          <w:bCs/>
        </w:rPr>
        <w:t>Appaiahgari</w:t>
      </w:r>
      <w:proofErr w:type="spellEnd"/>
    </w:p>
    <w:p w14:paraId="7B2917E9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t>Associate Professor,</w:t>
      </w:r>
    </w:p>
    <w:p w14:paraId="728745B2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t>Laboratory for Multidisciplinary Research in Virology,</w:t>
      </w:r>
    </w:p>
    <w:p w14:paraId="4A89A7D6" w14:textId="77777777" w:rsidR="00615563" w:rsidRPr="003E2AEF" w:rsidRDefault="00615563" w:rsidP="00615563">
      <w:pPr>
        <w:spacing w:line="360" w:lineRule="auto"/>
        <w:ind w:left="-142" w:right="-694"/>
      </w:pPr>
      <w:proofErr w:type="spellStart"/>
      <w:r w:rsidRPr="003E2AEF">
        <w:t>Yenepoya</w:t>
      </w:r>
      <w:proofErr w:type="spellEnd"/>
      <w:r w:rsidRPr="003E2AEF">
        <w:t xml:space="preserve"> (deemed to be) University,</w:t>
      </w:r>
    </w:p>
    <w:p w14:paraId="1DF8A56B" w14:textId="77777777" w:rsidR="00615563" w:rsidRPr="003E2AEF" w:rsidRDefault="00615563" w:rsidP="00615563">
      <w:pPr>
        <w:spacing w:line="360" w:lineRule="auto"/>
        <w:ind w:left="-142" w:right="-694"/>
      </w:pPr>
      <w:proofErr w:type="spellStart"/>
      <w:r w:rsidRPr="003E2AEF">
        <w:t>Deralakatte</w:t>
      </w:r>
      <w:proofErr w:type="spellEnd"/>
      <w:r w:rsidRPr="003E2AEF">
        <w:t xml:space="preserve">, </w:t>
      </w:r>
      <w:proofErr w:type="spellStart"/>
      <w:r w:rsidRPr="003E2AEF">
        <w:t>Mangaluru</w:t>
      </w:r>
      <w:proofErr w:type="spellEnd"/>
      <w:r w:rsidRPr="003E2AEF">
        <w:t xml:space="preserve"> - 575018, Karnataka, India</w:t>
      </w:r>
    </w:p>
    <w:p w14:paraId="66EECA31" w14:textId="77777777" w:rsidR="00615563" w:rsidRPr="003E2AEF" w:rsidRDefault="00615563" w:rsidP="00615563">
      <w:pPr>
        <w:spacing w:line="360" w:lineRule="auto"/>
        <w:ind w:left="-142" w:right="-694"/>
      </w:pPr>
      <w:r w:rsidRPr="003E2AEF">
        <w:t>Email: mohanviro@gmail.com, mohan.ba@yenepoya.edu.in</w:t>
      </w:r>
    </w:p>
    <w:p w14:paraId="5C4F2E89" w14:textId="77777777" w:rsidR="00615563" w:rsidRPr="00C4159B" w:rsidRDefault="00615563">
      <w:pPr>
        <w:spacing w:after="171" w:line="259" w:lineRule="auto"/>
        <w:ind w:left="533" w:right="0" w:firstLine="0"/>
        <w:jc w:val="left"/>
        <w:rPr>
          <w:b/>
          <w:bCs/>
          <w:sz w:val="22"/>
          <w:szCs w:val="28"/>
        </w:rPr>
      </w:pPr>
    </w:p>
    <w:p w14:paraId="6C3A1D48" w14:textId="77777777" w:rsidR="00424511" w:rsidRDefault="00000000">
      <w:pPr>
        <w:spacing w:line="259" w:lineRule="auto"/>
        <w:ind w:left="533" w:right="0" w:firstLine="0"/>
        <w:jc w:val="left"/>
      </w:pPr>
      <w:r>
        <w:rPr>
          <w:sz w:val="24"/>
        </w:rPr>
        <w:t xml:space="preserve"> </w:t>
      </w:r>
    </w:p>
    <w:p w14:paraId="58784829" w14:textId="77777777" w:rsidR="00615563" w:rsidRDefault="00000000">
      <w:pPr>
        <w:spacing w:after="139" w:line="259" w:lineRule="auto"/>
        <w:ind w:left="0" w:right="0" w:firstLine="0"/>
        <w:jc w:val="left"/>
        <w:rPr>
          <w:b/>
          <w:bCs/>
          <w:color w:val="000000"/>
        </w:rPr>
      </w:pPr>
      <w:r w:rsidRPr="006B49ED">
        <w:rPr>
          <w:b/>
          <w:bCs/>
          <w:color w:val="000000"/>
        </w:rPr>
        <w:t xml:space="preserve"> </w:t>
      </w:r>
    </w:p>
    <w:p w14:paraId="4204E1CF" w14:textId="77777777" w:rsidR="00615563" w:rsidRDefault="00615563">
      <w:pPr>
        <w:spacing w:after="139" w:line="259" w:lineRule="auto"/>
        <w:ind w:left="0" w:right="0" w:firstLine="0"/>
        <w:jc w:val="left"/>
        <w:rPr>
          <w:b/>
          <w:bCs/>
          <w:color w:val="000000"/>
        </w:rPr>
      </w:pPr>
    </w:p>
    <w:p w14:paraId="4BDBFF60" w14:textId="77777777" w:rsidR="00615563" w:rsidRDefault="00615563">
      <w:pPr>
        <w:spacing w:after="139" w:line="259" w:lineRule="auto"/>
        <w:ind w:left="0" w:right="0" w:firstLine="0"/>
        <w:jc w:val="left"/>
        <w:rPr>
          <w:b/>
          <w:bCs/>
          <w:color w:val="000000"/>
        </w:rPr>
      </w:pPr>
    </w:p>
    <w:p w14:paraId="3944148D" w14:textId="77777777" w:rsidR="00615563" w:rsidRDefault="00615563">
      <w:pPr>
        <w:spacing w:after="139" w:line="259" w:lineRule="auto"/>
        <w:ind w:left="0" w:right="0" w:firstLine="0"/>
        <w:jc w:val="left"/>
        <w:rPr>
          <w:b/>
          <w:bCs/>
          <w:color w:val="000000"/>
        </w:rPr>
      </w:pPr>
    </w:p>
    <w:p w14:paraId="277693C3" w14:textId="77777777" w:rsidR="00615563" w:rsidRDefault="00615563">
      <w:pPr>
        <w:spacing w:after="139" w:line="259" w:lineRule="auto"/>
        <w:ind w:left="0" w:right="0" w:firstLine="0"/>
        <w:jc w:val="left"/>
        <w:rPr>
          <w:b/>
          <w:bCs/>
          <w:color w:val="000000"/>
        </w:rPr>
      </w:pPr>
    </w:p>
    <w:p w14:paraId="684C4174" w14:textId="77777777" w:rsidR="00615563" w:rsidRDefault="00615563">
      <w:pPr>
        <w:spacing w:after="139" w:line="259" w:lineRule="auto"/>
        <w:ind w:left="0" w:right="0" w:firstLine="0"/>
        <w:jc w:val="left"/>
        <w:rPr>
          <w:b/>
          <w:bCs/>
          <w:color w:val="000000"/>
        </w:rPr>
      </w:pPr>
    </w:p>
    <w:p w14:paraId="0C824400" w14:textId="13CB9AFA" w:rsidR="00424511" w:rsidRPr="00C4159B" w:rsidRDefault="00000000">
      <w:pPr>
        <w:spacing w:after="139" w:line="259" w:lineRule="auto"/>
        <w:ind w:left="0" w:right="0" w:firstLine="0"/>
        <w:jc w:val="left"/>
        <w:rPr>
          <w:sz w:val="22"/>
          <w:szCs w:val="22"/>
        </w:rPr>
      </w:pPr>
      <w:r w:rsidRPr="006B49ED">
        <w:rPr>
          <w:b/>
          <w:bCs/>
          <w:color w:val="000000"/>
        </w:rPr>
        <w:lastRenderedPageBreak/>
        <w:t xml:space="preserve"> </w:t>
      </w:r>
      <w:r w:rsidRPr="00C4159B">
        <w:rPr>
          <w:b/>
          <w:bCs/>
          <w:color w:val="000000"/>
          <w:sz w:val="22"/>
          <w:szCs w:val="22"/>
        </w:rPr>
        <w:t>Supplementa</w:t>
      </w:r>
      <w:r w:rsidR="00615563">
        <w:rPr>
          <w:b/>
          <w:bCs/>
          <w:color w:val="000000"/>
          <w:sz w:val="22"/>
          <w:szCs w:val="22"/>
        </w:rPr>
        <w:t>l</w:t>
      </w:r>
      <w:r w:rsidRPr="00C4159B">
        <w:rPr>
          <w:b/>
          <w:bCs/>
          <w:color w:val="000000"/>
          <w:sz w:val="22"/>
          <w:szCs w:val="22"/>
        </w:rPr>
        <w:t xml:space="preserve"> Table 1.</w:t>
      </w:r>
      <w:r w:rsidRPr="00C4159B">
        <w:rPr>
          <w:color w:val="000000"/>
          <w:sz w:val="22"/>
          <w:szCs w:val="22"/>
        </w:rPr>
        <w:t xml:space="preserve"> DNA Aptamer Library and Primers. </w:t>
      </w:r>
    </w:p>
    <w:p w14:paraId="7C777CC1" w14:textId="77777777" w:rsidR="00424511" w:rsidRDefault="00000000">
      <w:pPr>
        <w:spacing w:after="42" w:line="259" w:lineRule="auto"/>
        <w:ind w:left="0" w:right="2407" w:firstLine="0"/>
        <w:jc w:val="right"/>
      </w:pPr>
      <w:r>
        <w:rPr>
          <w:noProof/>
        </w:rPr>
        <w:drawing>
          <wp:inline distT="0" distB="0" distL="0" distR="0" wp14:anchorId="7D5F7866" wp14:editId="529AE381">
            <wp:extent cx="4512564" cy="1357884"/>
            <wp:effectExtent l="0" t="0" r="0" b="0"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2564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3"/>
        </w:rPr>
        <w:t xml:space="preserve"> </w:t>
      </w:r>
    </w:p>
    <w:p w14:paraId="0EF9E044" w14:textId="77777777" w:rsidR="00424511" w:rsidRDefault="00000000">
      <w:pPr>
        <w:spacing w:after="17" w:line="259" w:lineRule="auto"/>
        <w:ind w:left="0" w:right="0" w:firstLine="0"/>
        <w:jc w:val="left"/>
      </w:pPr>
      <w:r>
        <w:t xml:space="preserve">   </w:t>
      </w:r>
    </w:p>
    <w:p w14:paraId="231D56C3" w14:textId="232BA52A" w:rsidR="00424511" w:rsidRPr="00C4159B" w:rsidRDefault="00000000">
      <w:pPr>
        <w:spacing w:after="12" w:line="259" w:lineRule="auto"/>
        <w:ind w:left="0" w:right="0" w:firstLine="0"/>
        <w:jc w:val="left"/>
        <w:rPr>
          <w:sz w:val="22"/>
          <w:szCs w:val="22"/>
        </w:rPr>
      </w:pPr>
      <w:r>
        <w:t xml:space="preserve">  </w:t>
      </w:r>
      <w:r w:rsidRPr="00C4159B">
        <w:rPr>
          <w:b/>
          <w:bCs/>
          <w:color w:val="000000"/>
          <w:sz w:val="22"/>
          <w:szCs w:val="22"/>
        </w:rPr>
        <w:t>Supplementa</w:t>
      </w:r>
      <w:r w:rsidR="00615563">
        <w:rPr>
          <w:b/>
          <w:bCs/>
          <w:color w:val="000000"/>
          <w:sz w:val="22"/>
          <w:szCs w:val="22"/>
        </w:rPr>
        <w:t>l</w:t>
      </w:r>
      <w:r w:rsidRPr="00C4159B">
        <w:rPr>
          <w:b/>
          <w:bCs/>
          <w:sz w:val="22"/>
          <w:szCs w:val="22"/>
        </w:rPr>
        <w:t xml:space="preserve"> Table 2.</w:t>
      </w:r>
      <w:r w:rsidRPr="00C4159B">
        <w:rPr>
          <w:sz w:val="22"/>
          <w:szCs w:val="22"/>
        </w:rPr>
        <w:t xml:space="preserve"> Next-generation sequencing (NGS) results </w:t>
      </w:r>
    </w:p>
    <w:p w14:paraId="37964A50" w14:textId="77777777" w:rsidR="00424511" w:rsidRDefault="00000000">
      <w:pPr>
        <w:spacing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5467" w:type="dxa"/>
        <w:tblInd w:w="132" w:type="dxa"/>
        <w:tblCellMar>
          <w:top w:w="57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557"/>
        <w:gridCol w:w="2911"/>
        <w:gridCol w:w="1999"/>
      </w:tblGrid>
      <w:tr w:rsidR="00424511" w14:paraId="05DAAC77" w14:textId="77777777">
        <w:trPr>
          <w:trHeight w:val="641"/>
        </w:trPr>
        <w:tc>
          <w:tcPr>
            <w:tcW w:w="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AD9FE1" w14:textId="77777777" w:rsidR="00424511" w:rsidRDefault="00000000">
            <w:pPr>
              <w:spacing w:line="259" w:lineRule="auto"/>
              <w:ind w:left="0" w:right="0" w:firstLine="0"/>
              <w:jc w:val="left"/>
            </w:pPr>
            <w:r>
              <w:rPr>
                <w:color w:val="000000"/>
                <w:sz w:val="23"/>
              </w:rPr>
              <w:t xml:space="preserve">1. </w:t>
            </w:r>
          </w:p>
        </w:tc>
        <w:tc>
          <w:tcPr>
            <w:tcW w:w="2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DB32C8" w14:textId="77777777" w:rsidR="00424511" w:rsidRDefault="00000000">
            <w:pPr>
              <w:spacing w:line="259" w:lineRule="auto"/>
              <w:ind w:left="0" w:right="0" w:firstLine="0"/>
              <w:jc w:val="left"/>
            </w:pPr>
            <w:r>
              <w:rPr>
                <w:color w:val="000000"/>
                <w:sz w:val="23"/>
              </w:rPr>
              <w:t xml:space="preserve">Total Sequences </w:t>
            </w:r>
          </w:p>
        </w:tc>
        <w:tc>
          <w:tcPr>
            <w:tcW w:w="19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381DC3" w14:textId="77777777" w:rsidR="00424511" w:rsidRDefault="00000000">
            <w:pPr>
              <w:spacing w:line="259" w:lineRule="auto"/>
              <w:ind w:left="0" w:right="0" w:firstLine="0"/>
              <w:jc w:val="left"/>
            </w:pPr>
            <w:r>
              <w:rPr>
                <w:color w:val="000000"/>
                <w:sz w:val="23"/>
              </w:rPr>
              <w:t xml:space="preserve">25170392 </w:t>
            </w:r>
          </w:p>
        </w:tc>
      </w:tr>
      <w:tr w:rsidR="00424511" w14:paraId="45ECDC68" w14:textId="77777777">
        <w:trPr>
          <w:trHeight w:val="641"/>
        </w:trPr>
        <w:tc>
          <w:tcPr>
            <w:tcW w:w="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11716EA" w14:textId="77777777" w:rsidR="00424511" w:rsidRDefault="00000000">
            <w:pPr>
              <w:spacing w:line="259" w:lineRule="auto"/>
              <w:ind w:left="0" w:right="0" w:firstLine="0"/>
              <w:jc w:val="left"/>
            </w:pPr>
            <w:r>
              <w:rPr>
                <w:color w:val="000000"/>
                <w:sz w:val="23"/>
              </w:rPr>
              <w:t xml:space="preserve">2. </w:t>
            </w:r>
          </w:p>
        </w:tc>
        <w:tc>
          <w:tcPr>
            <w:tcW w:w="2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DD6E600" w14:textId="77777777" w:rsidR="00424511" w:rsidRDefault="00000000">
            <w:pPr>
              <w:spacing w:line="259" w:lineRule="auto"/>
              <w:ind w:left="0" w:right="0" w:firstLine="0"/>
              <w:jc w:val="left"/>
            </w:pPr>
            <w:r>
              <w:rPr>
                <w:color w:val="000000"/>
                <w:sz w:val="23"/>
              </w:rPr>
              <w:t xml:space="preserve">Unique Sequences </w:t>
            </w:r>
          </w:p>
        </w:tc>
        <w:tc>
          <w:tcPr>
            <w:tcW w:w="19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42636C" w14:textId="77777777" w:rsidR="00424511" w:rsidRDefault="00000000">
            <w:pPr>
              <w:spacing w:line="259" w:lineRule="auto"/>
              <w:ind w:left="0" w:right="0" w:firstLine="0"/>
              <w:jc w:val="left"/>
            </w:pPr>
            <w:r>
              <w:rPr>
                <w:color w:val="000000"/>
                <w:sz w:val="23"/>
              </w:rPr>
              <w:t xml:space="preserve">22327197 </w:t>
            </w:r>
          </w:p>
        </w:tc>
      </w:tr>
      <w:tr w:rsidR="00424511" w14:paraId="12A88F92" w14:textId="77777777">
        <w:trPr>
          <w:trHeight w:val="557"/>
        </w:trPr>
        <w:tc>
          <w:tcPr>
            <w:tcW w:w="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AD06823" w14:textId="77777777" w:rsidR="00424511" w:rsidRDefault="00000000">
            <w:pPr>
              <w:spacing w:line="259" w:lineRule="auto"/>
              <w:ind w:left="0" w:right="0" w:firstLine="0"/>
              <w:jc w:val="left"/>
            </w:pPr>
            <w:r>
              <w:rPr>
                <w:color w:val="000000"/>
                <w:sz w:val="23"/>
              </w:rPr>
              <w:t xml:space="preserve">3. </w:t>
            </w:r>
          </w:p>
        </w:tc>
        <w:tc>
          <w:tcPr>
            <w:tcW w:w="291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37BED7" w14:textId="77777777" w:rsidR="00424511" w:rsidRDefault="00000000">
            <w:pPr>
              <w:spacing w:line="259" w:lineRule="auto"/>
              <w:ind w:left="0" w:right="0" w:firstLine="0"/>
              <w:jc w:val="left"/>
            </w:pPr>
            <w:r>
              <w:rPr>
                <w:color w:val="000000"/>
                <w:sz w:val="23"/>
              </w:rPr>
              <w:t xml:space="preserve">Correct sequences (30nt) </w:t>
            </w:r>
          </w:p>
        </w:tc>
        <w:tc>
          <w:tcPr>
            <w:tcW w:w="199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A0F375" w14:textId="77777777" w:rsidR="00424511" w:rsidRDefault="00000000">
            <w:pPr>
              <w:spacing w:line="259" w:lineRule="auto"/>
              <w:ind w:left="0" w:right="0" w:firstLine="0"/>
              <w:jc w:val="left"/>
            </w:pPr>
            <w:r>
              <w:rPr>
                <w:color w:val="000000"/>
                <w:sz w:val="23"/>
              </w:rPr>
              <w:t xml:space="preserve">19388565 </w:t>
            </w:r>
          </w:p>
        </w:tc>
      </w:tr>
    </w:tbl>
    <w:p w14:paraId="67989320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63513094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3CC18491" w14:textId="77777777" w:rsidR="00424511" w:rsidRDefault="00000000">
      <w:pPr>
        <w:spacing w:after="18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6707909B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284373A9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3EB8DCB5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54F7DC13" w14:textId="77777777" w:rsidR="00424511" w:rsidRDefault="00000000">
      <w:pPr>
        <w:spacing w:after="18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43C2BA51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2072811B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63CFADD1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314C0FEE" w14:textId="77777777" w:rsidR="00424511" w:rsidRDefault="00000000">
      <w:pPr>
        <w:spacing w:after="18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4E0BF19B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3B40A079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395921A4" w14:textId="77777777" w:rsidR="00424511" w:rsidRDefault="00000000">
      <w:pPr>
        <w:spacing w:after="18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2B6C68B2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78F93F84" w14:textId="77777777" w:rsidR="00424511" w:rsidRDefault="00000000">
      <w:pPr>
        <w:spacing w:after="18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0D069667" w14:textId="77777777" w:rsidR="00424511" w:rsidRDefault="00000000">
      <w:pPr>
        <w:spacing w:after="16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50C4B32D" w14:textId="77777777" w:rsidR="00424511" w:rsidRDefault="00000000">
      <w:pPr>
        <w:spacing w:after="33" w:line="259" w:lineRule="auto"/>
        <w:ind w:left="533" w:right="0" w:firstLine="0"/>
        <w:jc w:val="left"/>
      </w:pPr>
      <w:r>
        <w:rPr>
          <w:color w:val="000000"/>
          <w:sz w:val="23"/>
        </w:rPr>
        <w:t xml:space="preserve"> </w:t>
      </w:r>
    </w:p>
    <w:p w14:paraId="251AA34F" w14:textId="77777777" w:rsidR="00424511" w:rsidRDefault="00000000">
      <w:pPr>
        <w:spacing w:after="20" w:line="259" w:lineRule="auto"/>
        <w:ind w:left="533" w:right="0" w:firstLine="0"/>
        <w:jc w:val="left"/>
      </w:pPr>
      <w:r>
        <w:rPr>
          <w:sz w:val="24"/>
        </w:rPr>
        <w:t xml:space="preserve">                                            </w:t>
      </w:r>
    </w:p>
    <w:p w14:paraId="09F7DF00" w14:textId="77777777" w:rsidR="00424511" w:rsidRDefault="00000000">
      <w:pPr>
        <w:spacing w:after="20" w:line="259" w:lineRule="auto"/>
        <w:ind w:left="533" w:right="0" w:firstLine="0"/>
        <w:jc w:val="left"/>
      </w:pPr>
      <w:r>
        <w:rPr>
          <w:sz w:val="24"/>
        </w:rPr>
        <w:t xml:space="preserve">                                          </w:t>
      </w:r>
    </w:p>
    <w:p w14:paraId="0532B98D" w14:textId="77777777" w:rsidR="00424511" w:rsidRDefault="00000000">
      <w:pPr>
        <w:spacing w:after="20" w:line="259" w:lineRule="auto"/>
        <w:ind w:left="533" w:right="0" w:firstLine="0"/>
        <w:jc w:val="left"/>
      </w:pPr>
      <w:r>
        <w:rPr>
          <w:sz w:val="24"/>
        </w:rPr>
        <w:t xml:space="preserve"> </w:t>
      </w:r>
    </w:p>
    <w:p w14:paraId="060512B2" w14:textId="77777777" w:rsidR="00424511" w:rsidRDefault="00000000">
      <w:pPr>
        <w:spacing w:after="17" w:line="259" w:lineRule="auto"/>
        <w:ind w:left="533" w:right="0" w:firstLine="0"/>
        <w:jc w:val="left"/>
      </w:pPr>
      <w:r>
        <w:rPr>
          <w:sz w:val="24"/>
        </w:rPr>
        <w:t xml:space="preserve"> </w:t>
      </w:r>
    </w:p>
    <w:p w14:paraId="0BAADA2F" w14:textId="77777777" w:rsidR="00424511" w:rsidRDefault="00000000">
      <w:pPr>
        <w:spacing w:line="259" w:lineRule="auto"/>
        <w:ind w:left="533" w:right="0" w:firstLine="0"/>
        <w:jc w:val="left"/>
      </w:pPr>
      <w:r>
        <w:rPr>
          <w:sz w:val="24"/>
        </w:rPr>
        <w:t xml:space="preserve"> </w:t>
      </w:r>
    </w:p>
    <w:p w14:paraId="3548C06A" w14:textId="77777777" w:rsidR="00615563" w:rsidRDefault="00000000" w:rsidP="00B67F7B">
      <w:pPr>
        <w:pStyle w:val="Heading1"/>
        <w:rPr>
          <w:u w:val="none" w:color="000000"/>
        </w:rPr>
      </w:pPr>
      <w:r>
        <w:rPr>
          <w:u w:val="none" w:color="000000"/>
        </w:rPr>
        <w:lastRenderedPageBreak/>
        <w:t xml:space="preserve">                                              </w:t>
      </w:r>
    </w:p>
    <w:p w14:paraId="05AFE43B" w14:textId="77777777" w:rsidR="00615563" w:rsidRDefault="00615563" w:rsidP="00B67F7B">
      <w:pPr>
        <w:pStyle w:val="Heading1"/>
        <w:rPr>
          <w:u w:val="none" w:color="000000"/>
        </w:rPr>
      </w:pPr>
    </w:p>
    <w:p w14:paraId="0EC493E3" w14:textId="77777777" w:rsidR="00615563" w:rsidRDefault="00615563" w:rsidP="00615563">
      <w:pPr>
        <w:pStyle w:val="Heading1"/>
        <w:ind w:left="0"/>
        <w:rPr>
          <w:u w:val="none" w:color="000000"/>
        </w:rPr>
      </w:pPr>
    </w:p>
    <w:p w14:paraId="3B56FF18" w14:textId="49244053" w:rsidR="00B83D59" w:rsidRDefault="00000000" w:rsidP="00615563">
      <w:pPr>
        <w:pStyle w:val="Heading1"/>
        <w:ind w:left="0"/>
        <w:rPr>
          <w:b/>
          <w:bCs/>
          <w:u w:val="none" w:color="000000"/>
        </w:rPr>
      </w:pPr>
      <w:r>
        <w:rPr>
          <w:u w:val="none" w:color="000000"/>
        </w:rPr>
        <w:t xml:space="preserve"> </w:t>
      </w:r>
      <w:r w:rsidRPr="00C4159B">
        <w:rPr>
          <w:b/>
          <w:bCs/>
        </w:rPr>
        <w:t>Supplementa</w:t>
      </w:r>
      <w:r w:rsidR="00615563">
        <w:rPr>
          <w:b/>
          <w:bCs/>
        </w:rPr>
        <w:t>l</w:t>
      </w:r>
      <w:r w:rsidRPr="00C4159B">
        <w:rPr>
          <w:b/>
          <w:bCs/>
        </w:rPr>
        <w:t xml:space="preserve"> Figures</w:t>
      </w:r>
      <w:r w:rsidRPr="00C4159B">
        <w:rPr>
          <w:b/>
          <w:bCs/>
          <w:u w:val="none" w:color="000000"/>
        </w:rPr>
        <w:t xml:space="preserve">  </w:t>
      </w:r>
    </w:p>
    <w:p w14:paraId="0CAA5D3C" w14:textId="77777777" w:rsidR="00B67F7B" w:rsidRPr="00B67F7B" w:rsidRDefault="00B67F7B" w:rsidP="00B67F7B"/>
    <w:p w14:paraId="78002212" w14:textId="77777777" w:rsidR="00C4159B" w:rsidRDefault="00C4159B">
      <w:pPr>
        <w:ind w:left="-5" w:right="231"/>
      </w:pPr>
    </w:p>
    <w:p w14:paraId="25177523" w14:textId="77777777" w:rsidR="00C4159B" w:rsidRDefault="00C4159B" w:rsidP="00C4159B">
      <w:pPr>
        <w:spacing w:line="259" w:lineRule="auto"/>
        <w:ind w:left="0" w:right="785" w:firstLine="0"/>
        <w:jc w:val="center"/>
        <w:rPr>
          <w:sz w:val="24"/>
        </w:rPr>
      </w:pPr>
      <w:r>
        <w:rPr>
          <w:noProof/>
        </w:rPr>
        <w:drawing>
          <wp:inline distT="0" distB="0" distL="0" distR="0" wp14:anchorId="4EB2A00F" wp14:editId="35B34F05">
            <wp:extent cx="3605784" cy="3121152"/>
            <wp:effectExtent l="0" t="0" r="0" b="0"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5784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FEC9EE9" w14:textId="77777777" w:rsidR="00B67F7B" w:rsidRDefault="00B67F7B" w:rsidP="00C4159B">
      <w:pPr>
        <w:spacing w:line="259" w:lineRule="auto"/>
        <w:ind w:left="0" w:right="785" w:firstLine="0"/>
        <w:jc w:val="center"/>
      </w:pPr>
    </w:p>
    <w:p w14:paraId="0FF58DDE" w14:textId="0385B855" w:rsidR="00C4159B" w:rsidRPr="00B67F7B" w:rsidRDefault="00C4159B" w:rsidP="00B67F7B">
      <w:pPr>
        <w:spacing w:line="480" w:lineRule="auto"/>
        <w:ind w:left="-5" w:right="207"/>
        <w:rPr>
          <w:sz w:val="22"/>
          <w:szCs w:val="28"/>
        </w:rPr>
      </w:pPr>
      <w:r w:rsidRPr="00B67F7B">
        <w:rPr>
          <w:b/>
          <w:bCs/>
          <w:color w:val="000000"/>
          <w:sz w:val="22"/>
          <w:szCs w:val="28"/>
        </w:rPr>
        <w:t>Supplementa</w:t>
      </w:r>
      <w:r w:rsidR="00615563">
        <w:rPr>
          <w:b/>
          <w:bCs/>
          <w:color w:val="000000"/>
          <w:sz w:val="22"/>
          <w:szCs w:val="28"/>
        </w:rPr>
        <w:t>l</w:t>
      </w:r>
      <w:r w:rsidRPr="00B67F7B">
        <w:rPr>
          <w:b/>
          <w:bCs/>
          <w:sz w:val="22"/>
          <w:szCs w:val="28"/>
        </w:rPr>
        <w:t xml:space="preserve"> Figure </w:t>
      </w:r>
      <w:r w:rsidR="00522C5D">
        <w:rPr>
          <w:b/>
          <w:bCs/>
          <w:sz w:val="22"/>
          <w:szCs w:val="28"/>
        </w:rPr>
        <w:t>1</w:t>
      </w:r>
      <w:r w:rsidRPr="00B67F7B">
        <w:rPr>
          <w:b/>
          <w:bCs/>
          <w:sz w:val="22"/>
          <w:szCs w:val="28"/>
        </w:rPr>
        <w:t>.</w:t>
      </w:r>
      <w:r w:rsidRPr="00B67F7B">
        <w:rPr>
          <w:sz w:val="22"/>
          <w:szCs w:val="28"/>
        </w:rPr>
        <w:t xml:space="preserve"> Schematic representation of Plasmid construct of pFastBac1_ss-sEGFR (6658 bp). The </w:t>
      </w:r>
      <w:proofErr w:type="spellStart"/>
      <w:r w:rsidRPr="00B67F7B">
        <w:rPr>
          <w:sz w:val="22"/>
          <w:szCs w:val="28"/>
        </w:rPr>
        <w:t>sEGFR</w:t>
      </w:r>
      <w:proofErr w:type="spellEnd"/>
      <w:r w:rsidRPr="00B67F7B">
        <w:rPr>
          <w:sz w:val="22"/>
          <w:szCs w:val="28"/>
        </w:rPr>
        <w:t xml:space="preserve"> insert is cloned under the </w:t>
      </w:r>
      <w:proofErr w:type="spellStart"/>
      <w:r w:rsidRPr="00B67F7B">
        <w:rPr>
          <w:sz w:val="22"/>
          <w:szCs w:val="28"/>
        </w:rPr>
        <w:t>polyhedrin</w:t>
      </w:r>
      <w:proofErr w:type="spellEnd"/>
      <w:r w:rsidRPr="00B67F7B">
        <w:rPr>
          <w:sz w:val="22"/>
          <w:szCs w:val="28"/>
        </w:rPr>
        <w:t xml:space="preserve"> (</w:t>
      </w:r>
      <w:proofErr w:type="spellStart"/>
      <w:r w:rsidRPr="00B67F7B">
        <w:rPr>
          <w:sz w:val="22"/>
          <w:szCs w:val="28"/>
        </w:rPr>
        <w:t>polh</w:t>
      </w:r>
      <w:proofErr w:type="spellEnd"/>
      <w:r w:rsidRPr="00B67F7B">
        <w:rPr>
          <w:sz w:val="22"/>
          <w:szCs w:val="28"/>
        </w:rPr>
        <w:t xml:space="preserve">) promoter for expression in insect cells. The plasmid map was created by using </w:t>
      </w:r>
      <w:proofErr w:type="spellStart"/>
      <w:r w:rsidRPr="00B67F7B">
        <w:rPr>
          <w:sz w:val="22"/>
          <w:szCs w:val="28"/>
        </w:rPr>
        <w:t>SnapGene</w:t>
      </w:r>
      <w:proofErr w:type="spellEnd"/>
      <w:r w:rsidRPr="00B67F7B">
        <w:rPr>
          <w:sz w:val="22"/>
          <w:szCs w:val="28"/>
        </w:rPr>
        <w:t xml:space="preserve"> software (GSL Biotech LLC) </w:t>
      </w:r>
    </w:p>
    <w:p w14:paraId="5A50426E" w14:textId="77777777" w:rsidR="00C4159B" w:rsidRDefault="00C4159B" w:rsidP="00C4159B">
      <w:pPr>
        <w:spacing w:after="14" w:line="259" w:lineRule="auto"/>
        <w:ind w:left="533" w:right="0" w:firstLine="0"/>
        <w:jc w:val="left"/>
      </w:pPr>
      <w:r>
        <w:t xml:space="preserve"> </w:t>
      </w:r>
    </w:p>
    <w:p w14:paraId="54116C6C" w14:textId="77777777" w:rsidR="00C4159B" w:rsidRDefault="00C4159B" w:rsidP="00C4159B">
      <w:pPr>
        <w:spacing w:line="259" w:lineRule="auto"/>
        <w:ind w:left="0" w:right="0" w:firstLine="0"/>
        <w:jc w:val="left"/>
      </w:pPr>
      <w:r>
        <w:t xml:space="preserve"> </w:t>
      </w:r>
    </w:p>
    <w:p w14:paraId="3B794BBE" w14:textId="77777777" w:rsidR="00C4159B" w:rsidRDefault="00C4159B" w:rsidP="00C4159B">
      <w:pPr>
        <w:spacing w:line="259" w:lineRule="auto"/>
        <w:ind w:left="0" w:right="631" w:firstLine="0"/>
        <w:jc w:val="right"/>
        <w:rPr>
          <w:sz w:val="23"/>
        </w:rPr>
      </w:pPr>
      <w:r>
        <w:rPr>
          <w:noProof/>
        </w:rPr>
        <w:drawing>
          <wp:inline distT="0" distB="0" distL="0" distR="0" wp14:anchorId="3AEB380D" wp14:editId="6CD21E44">
            <wp:extent cx="5387340" cy="1658112"/>
            <wp:effectExtent l="0" t="0" r="0" b="0"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</w:t>
      </w:r>
    </w:p>
    <w:p w14:paraId="110E87F4" w14:textId="77777777" w:rsidR="00B67F7B" w:rsidRDefault="00B67F7B" w:rsidP="00C4159B">
      <w:pPr>
        <w:spacing w:line="259" w:lineRule="auto"/>
        <w:ind w:left="0" w:right="631" w:firstLine="0"/>
        <w:jc w:val="right"/>
      </w:pPr>
    </w:p>
    <w:p w14:paraId="375B9011" w14:textId="5CCBF670" w:rsidR="00C4159B" w:rsidRDefault="00C4159B" w:rsidP="00B67F7B">
      <w:pPr>
        <w:spacing w:line="480" w:lineRule="auto"/>
        <w:ind w:left="-5" w:right="66"/>
        <w:rPr>
          <w:sz w:val="22"/>
          <w:szCs w:val="28"/>
        </w:rPr>
      </w:pPr>
      <w:r w:rsidRPr="00B67F7B">
        <w:rPr>
          <w:b/>
          <w:bCs/>
          <w:color w:val="000000"/>
          <w:sz w:val="22"/>
          <w:szCs w:val="28"/>
        </w:rPr>
        <w:t>Supplementa</w:t>
      </w:r>
      <w:r w:rsidR="00615563">
        <w:rPr>
          <w:b/>
          <w:bCs/>
          <w:color w:val="000000"/>
          <w:sz w:val="22"/>
          <w:szCs w:val="28"/>
        </w:rPr>
        <w:t>l</w:t>
      </w:r>
      <w:r w:rsidRPr="00B67F7B">
        <w:rPr>
          <w:b/>
          <w:bCs/>
          <w:sz w:val="22"/>
          <w:szCs w:val="28"/>
        </w:rPr>
        <w:t xml:space="preserve"> Figure </w:t>
      </w:r>
      <w:r w:rsidR="00522C5D">
        <w:rPr>
          <w:b/>
          <w:bCs/>
          <w:sz w:val="22"/>
          <w:szCs w:val="28"/>
        </w:rPr>
        <w:t>2</w:t>
      </w:r>
      <w:r w:rsidRPr="00B67F7B">
        <w:rPr>
          <w:sz w:val="22"/>
          <w:szCs w:val="28"/>
        </w:rPr>
        <w:t>. PCR amplification and ssDNA regeneration of enriched aptamer pools from the 7</w:t>
      </w:r>
      <w:r w:rsidRPr="00B67F7B">
        <w:rPr>
          <w:sz w:val="22"/>
          <w:szCs w:val="28"/>
          <w:vertAlign w:val="superscript"/>
        </w:rPr>
        <w:t>th</w:t>
      </w:r>
      <w:r w:rsidRPr="00B67F7B">
        <w:rPr>
          <w:sz w:val="22"/>
          <w:szCs w:val="28"/>
        </w:rPr>
        <w:t xml:space="preserve"> cycle of conventional SELEX against </w:t>
      </w:r>
      <w:proofErr w:type="spellStart"/>
      <w:r w:rsidRPr="00B67F7B">
        <w:rPr>
          <w:sz w:val="22"/>
          <w:szCs w:val="28"/>
        </w:rPr>
        <w:t>sEGFR</w:t>
      </w:r>
      <w:proofErr w:type="spellEnd"/>
      <w:r w:rsidRPr="00B67F7B">
        <w:rPr>
          <w:sz w:val="22"/>
          <w:szCs w:val="28"/>
        </w:rPr>
        <w:t>. Representative 3% agarose gels (left panels) show PCR-</w:t>
      </w:r>
      <w:r w:rsidRPr="00B67F7B">
        <w:rPr>
          <w:sz w:val="22"/>
          <w:szCs w:val="28"/>
        </w:rPr>
        <w:lastRenderedPageBreak/>
        <w:t xml:space="preserve">amplified </w:t>
      </w:r>
      <w:proofErr w:type="spellStart"/>
      <w:r w:rsidRPr="00B67F7B">
        <w:rPr>
          <w:sz w:val="22"/>
          <w:szCs w:val="28"/>
        </w:rPr>
        <w:t>doublestranded</w:t>
      </w:r>
      <w:proofErr w:type="spellEnd"/>
      <w:r w:rsidRPr="00B67F7B">
        <w:rPr>
          <w:sz w:val="22"/>
          <w:szCs w:val="28"/>
        </w:rPr>
        <w:t xml:space="preserve"> DNA (dsDNA) aptamer libraries (~57 bp) generated after each SELEX round, alongside single-stranded DNA (ssDNA) products (~57 </w:t>
      </w:r>
      <w:proofErr w:type="spellStart"/>
      <w:r w:rsidRPr="00B67F7B">
        <w:rPr>
          <w:sz w:val="22"/>
          <w:szCs w:val="28"/>
        </w:rPr>
        <w:t>nt</w:t>
      </w:r>
      <w:proofErr w:type="spellEnd"/>
      <w:r w:rsidRPr="00B67F7B">
        <w:rPr>
          <w:sz w:val="22"/>
          <w:szCs w:val="28"/>
        </w:rPr>
        <w:t xml:space="preserve">). Corresponding 10% urea–denaturing PAGE gels (right panels) display the separation of ssDNA from the </w:t>
      </w:r>
      <w:proofErr w:type="spellStart"/>
      <w:r w:rsidRPr="00B67F7B">
        <w:rPr>
          <w:sz w:val="22"/>
          <w:szCs w:val="28"/>
        </w:rPr>
        <w:t>ribo</w:t>
      </w:r>
      <w:proofErr w:type="spellEnd"/>
      <w:r w:rsidRPr="00B67F7B">
        <w:rPr>
          <w:sz w:val="22"/>
          <w:szCs w:val="28"/>
        </w:rPr>
        <w:t xml:space="preserve">-linkage–containing strand, with distinct bands for the 57 </w:t>
      </w:r>
      <w:proofErr w:type="spellStart"/>
      <w:r w:rsidRPr="00B67F7B">
        <w:rPr>
          <w:sz w:val="22"/>
          <w:szCs w:val="28"/>
        </w:rPr>
        <w:t>nt</w:t>
      </w:r>
      <w:proofErr w:type="spellEnd"/>
      <w:r w:rsidRPr="00B67F7B">
        <w:rPr>
          <w:sz w:val="22"/>
          <w:szCs w:val="28"/>
        </w:rPr>
        <w:t xml:space="preserve"> ssDNA library and shorter excess DNA fragments (~44 </w:t>
      </w:r>
      <w:proofErr w:type="spellStart"/>
      <w:r w:rsidRPr="00B67F7B">
        <w:rPr>
          <w:sz w:val="22"/>
          <w:szCs w:val="28"/>
        </w:rPr>
        <w:t>nt</w:t>
      </w:r>
      <w:proofErr w:type="spellEnd"/>
      <w:r w:rsidRPr="00B67F7B">
        <w:rPr>
          <w:sz w:val="22"/>
          <w:szCs w:val="28"/>
        </w:rPr>
        <w:t xml:space="preserve">), as well as the 13 </w:t>
      </w:r>
      <w:proofErr w:type="spellStart"/>
      <w:r w:rsidRPr="00B67F7B">
        <w:rPr>
          <w:sz w:val="22"/>
          <w:szCs w:val="28"/>
        </w:rPr>
        <w:t>nt</w:t>
      </w:r>
      <w:proofErr w:type="spellEnd"/>
      <w:r w:rsidRPr="00B67F7B">
        <w:rPr>
          <w:sz w:val="22"/>
          <w:szCs w:val="28"/>
        </w:rPr>
        <w:t xml:space="preserve"> reverse primer. Results are shown sequentially for rounds 1–7 of SELEX, demonstrating successful amplification and efficient ssDNA regeneration at each enrichment stage. </w:t>
      </w:r>
    </w:p>
    <w:p w14:paraId="1D2BC77C" w14:textId="77777777" w:rsidR="00522C5D" w:rsidRDefault="00522C5D" w:rsidP="00B67F7B">
      <w:pPr>
        <w:spacing w:line="480" w:lineRule="auto"/>
        <w:ind w:left="-5" w:right="66"/>
        <w:rPr>
          <w:sz w:val="22"/>
          <w:szCs w:val="28"/>
        </w:rPr>
      </w:pPr>
    </w:p>
    <w:p w14:paraId="1BE2CF8C" w14:textId="77777777" w:rsidR="00522C5D" w:rsidRDefault="00522C5D" w:rsidP="00522C5D">
      <w:pPr>
        <w:spacing w:line="259" w:lineRule="auto"/>
        <w:ind w:left="0" w:right="972" w:firstLine="0"/>
        <w:jc w:val="right"/>
      </w:pPr>
      <w:r>
        <w:rPr>
          <w:noProof/>
        </w:rPr>
        <w:drawing>
          <wp:inline distT="0" distB="0" distL="0" distR="0" wp14:anchorId="3EEEF377" wp14:editId="6FFF00B5">
            <wp:extent cx="4840132" cy="2272920"/>
            <wp:effectExtent l="0" t="0" r="0" b="0"/>
            <wp:docPr id="1433780061" name="Picture 1433780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5229" cy="22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</w:t>
      </w:r>
    </w:p>
    <w:p w14:paraId="6740E06F" w14:textId="7C0A5E57" w:rsidR="00522C5D" w:rsidRDefault="00522C5D" w:rsidP="00522C5D">
      <w:pPr>
        <w:spacing w:line="480" w:lineRule="auto"/>
        <w:ind w:left="-5" w:right="-218"/>
        <w:rPr>
          <w:sz w:val="22"/>
          <w:szCs w:val="22"/>
        </w:rPr>
      </w:pPr>
      <w:r w:rsidRPr="00C4159B">
        <w:rPr>
          <w:b/>
          <w:bCs/>
          <w:color w:val="000000"/>
          <w:sz w:val="22"/>
          <w:szCs w:val="22"/>
        </w:rPr>
        <w:t>Supplementa</w:t>
      </w:r>
      <w:r w:rsidR="00615563">
        <w:rPr>
          <w:b/>
          <w:bCs/>
          <w:color w:val="000000"/>
          <w:sz w:val="22"/>
          <w:szCs w:val="22"/>
        </w:rPr>
        <w:t>l</w:t>
      </w:r>
      <w:r w:rsidRPr="00C4159B">
        <w:rPr>
          <w:b/>
          <w:bCs/>
          <w:sz w:val="22"/>
          <w:szCs w:val="22"/>
        </w:rPr>
        <w:t xml:space="preserve"> Figure </w:t>
      </w:r>
      <w:r>
        <w:rPr>
          <w:b/>
          <w:bCs/>
          <w:sz w:val="22"/>
          <w:szCs w:val="22"/>
        </w:rPr>
        <w:t>3</w:t>
      </w:r>
      <w:r w:rsidRPr="00C4159B">
        <w:rPr>
          <w:sz w:val="22"/>
          <w:szCs w:val="22"/>
        </w:rPr>
        <w:t xml:space="preserve">. Purification and analysis of recombinant </w:t>
      </w:r>
      <w:proofErr w:type="spellStart"/>
      <w:r w:rsidRPr="00C4159B">
        <w:rPr>
          <w:sz w:val="22"/>
          <w:szCs w:val="22"/>
        </w:rPr>
        <w:t>sEGFR</w:t>
      </w:r>
      <w:proofErr w:type="spellEnd"/>
      <w:r w:rsidRPr="00C4159B">
        <w:rPr>
          <w:sz w:val="22"/>
          <w:szCs w:val="22"/>
        </w:rPr>
        <w:t xml:space="preserve"> protein. The figure shows (A) a 12% SDS–PAGE gel of gel filtration chromatography (GFC) purified </w:t>
      </w:r>
      <w:proofErr w:type="spellStart"/>
      <w:r w:rsidRPr="00C4159B">
        <w:rPr>
          <w:sz w:val="22"/>
          <w:szCs w:val="22"/>
        </w:rPr>
        <w:t>sEGFR</w:t>
      </w:r>
      <w:proofErr w:type="spellEnd"/>
      <w:r w:rsidRPr="00C4159B">
        <w:rPr>
          <w:sz w:val="22"/>
          <w:szCs w:val="22"/>
        </w:rPr>
        <w:t xml:space="preserve"> protein, (B) western blot detection using an anti-His tag antibody (1:3000 dilution), and (C) western blot detection using an anti-</w:t>
      </w:r>
      <w:proofErr w:type="spellStart"/>
      <w:r w:rsidRPr="00C4159B">
        <w:rPr>
          <w:sz w:val="22"/>
          <w:szCs w:val="22"/>
        </w:rPr>
        <w:t>sEGFR</w:t>
      </w:r>
      <w:proofErr w:type="spellEnd"/>
      <w:r w:rsidRPr="00C4159B">
        <w:rPr>
          <w:sz w:val="22"/>
          <w:szCs w:val="22"/>
        </w:rPr>
        <w:t xml:space="preserve"> antibody (1:3000 dilution). </w:t>
      </w:r>
    </w:p>
    <w:p w14:paraId="4B29D041" w14:textId="77777777" w:rsidR="00522C5D" w:rsidRDefault="00522C5D" w:rsidP="00522C5D">
      <w:pPr>
        <w:ind w:left="1418" w:right="231"/>
      </w:pPr>
      <w:r>
        <w:rPr>
          <w:noProof/>
        </w:rPr>
        <w:lastRenderedPageBreak/>
        <w:drawing>
          <wp:inline distT="0" distB="0" distL="0" distR="0" wp14:anchorId="618E42E0" wp14:editId="29A88356">
            <wp:extent cx="4203872" cy="3114461"/>
            <wp:effectExtent l="0" t="0" r="6350" b="0"/>
            <wp:docPr id="809346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006" cy="31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37A4" w14:textId="38727271" w:rsidR="00522C5D" w:rsidRDefault="00522C5D" w:rsidP="00522C5D">
      <w:pPr>
        <w:spacing w:line="480" w:lineRule="auto"/>
        <w:ind w:left="-142" w:right="-218"/>
        <w:rPr>
          <w:color w:val="000000"/>
          <w:sz w:val="22"/>
          <w:szCs w:val="22"/>
        </w:rPr>
      </w:pPr>
      <w:r w:rsidRPr="00C4159B">
        <w:rPr>
          <w:b/>
          <w:bCs/>
          <w:color w:val="000000"/>
          <w:sz w:val="22"/>
          <w:szCs w:val="22"/>
        </w:rPr>
        <w:t>Supplementa</w:t>
      </w:r>
      <w:r w:rsidR="00615563">
        <w:rPr>
          <w:b/>
          <w:bCs/>
          <w:color w:val="000000"/>
          <w:sz w:val="22"/>
          <w:szCs w:val="22"/>
        </w:rPr>
        <w:t>l</w:t>
      </w:r>
      <w:r w:rsidRPr="00C4159B">
        <w:rPr>
          <w:b/>
          <w:bCs/>
          <w:color w:val="000000"/>
          <w:sz w:val="22"/>
          <w:szCs w:val="22"/>
        </w:rPr>
        <w:t xml:space="preserve"> Figure </w:t>
      </w:r>
      <w:r>
        <w:rPr>
          <w:b/>
          <w:bCs/>
          <w:sz w:val="22"/>
          <w:szCs w:val="22"/>
        </w:rPr>
        <w:t>4</w:t>
      </w:r>
      <w:r w:rsidRPr="00C4159B">
        <w:rPr>
          <w:color w:val="000000"/>
          <w:sz w:val="22"/>
          <w:szCs w:val="22"/>
        </w:rPr>
        <w:t xml:space="preserve">. </w:t>
      </w:r>
      <w:r w:rsidRPr="00C4159B">
        <w:rPr>
          <w:b/>
          <w:bCs/>
          <w:color w:val="000000"/>
          <w:sz w:val="22"/>
          <w:szCs w:val="22"/>
        </w:rPr>
        <w:t xml:space="preserve">Schematic of P-SELEX </w:t>
      </w:r>
      <w:r w:rsidRPr="00C4159B">
        <w:rPr>
          <w:b/>
          <w:bCs/>
          <w:sz w:val="22"/>
          <w:szCs w:val="22"/>
        </w:rPr>
        <w:t>process</w:t>
      </w:r>
      <w:r w:rsidRPr="00C4159B">
        <w:rPr>
          <w:b/>
          <w:bCs/>
          <w:color w:val="000000"/>
          <w:sz w:val="22"/>
          <w:szCs w:val="22"/>
        </w:rPr>
        <w:t xml:space="preserve"> to identify </w:t>
      </w:r>
      <w:proofErr w:type="spellStart"/>
      <w:r w:rsidRPr="00C4159B">
        <w:rPr>
          <w:b/>
          <w:bCs/>
          <w:color w:val="000000"/>
          <w:sz w:val="22"/>
          <w:szCs w:val="22"/>
        </w:rPr>
        <w:t>sEGFR</w:t>
      </w:r>
      <w:proofErr w:type="spellEnd"/>
      <w:r w:rsidRPr="00C4159B">
        <w:rPr>
          <w:b/>
          <w:bCs/>
          <w:color w:val="000000"/>
          <w:sz w:val="22"/>
          <w:szCs w:val="22"/>
        </w:rPr>
        <w:t>-specific aptamers.</w:t>
      </w:r>
      <w:r w:rsidRPr="00C4159B">
        <w:rPr>
          <w:color w:val="000000"/>
          <w:sz w:val="22"/>
          <w:szCs w:val="22"/>
        </w:rPr>
        <w:t xml:space="preserve"> Step </w:t>
      </w:r>
      <w:r w:rsidRPr="00C4159B">
        <w:rPr>
          <w:b/>
          <w:bCs/>
          <w:color w:val="000000"/>
          <w:sz w:val="22"/>
          <w:szCs w:val="22"/>
        </w:rPr>
        <w:t>A</w:t>
      </w:r>
      <w:r w:rsidRPr="00C4159B">
        <w:rPr>
          <w:color w:val="000000"/>
          <w:sz w:val="22"/>
          <w:szCs w:val="22"/>
        </w:rPr>
        <w:t xml:space="preserve"> </w:t>
      </w:r>
      <w:r w:rsidRPr="00C4159B">
        <w:rPr>
          <w:sz w:val="22"/>
          <w:szCs w:val="22"/>
        </w:rPr>
        <w:t>illustrates</w:t>
      </w:r>
      <w:r w:rsidRPr="00C4159B">
        <w:rPr>
          <w:color w:val="000000"/>
          <w:sz w:val="22"/>
          <w:szCs w:val="22"/>
        </w:rPr>
        <w:t xml:space="preserve"> the negative selection, </w:t>
      </w:r>
      <w:r w:rsidRPr="00C4159B">
        <w:rPr>
          <w:sz w:val="22"/>
          <w:szCs w:val="22"/>
        </w:rPr>
        <w:t>wherein the</w:t>
      </w:r>
      <w:r w:rsidRPr="00C4159B">
        <w:rPr>
          <w:color w:val="000000"/>
          <w:sz w:val="22"/>
          <w:szCs w:val="22"/>
        </w:rPr>
        <w:t xml:space="preserve"> ssDNA library </w:t>
      </w:r>
      <w:r w:rsidRPr="00C4159B">
        <w:rPr>
          <w:sz w:val="22"/>
          <w:szCs w:val="22"/>
        </w:rPr>
        <w:t>is</w:t>
      </w:r>
      <w:r w:rsidRPr="00C4159B">
        <w:rPr>
          <w:color w:val="000000"/>
          <w:sz w:val="22"/>
          <w:szCs w:val="22"/>
        </w:rPr>
        <w:t xml:space="preserve"> incubated with Ni</w:t>
      </w:r>
      <w:r w:rsidRPr="00C4159B">
        <w:rPr>
          <w:color w:val="000000"/>
          <w:sz w:val="22"/>
          <w:szCs w:val="22"/>
          <w:vertAlign w:val="superscript"/>
        </w:rPr>
        <w:t>2+</w:t>
      </w:r>
      <w:r w:rsidRPr="00C4159B">
        <w:rPr>
          <w:color w:val="000000"/>
          <w:sz w:val="22"/>
          <w:szCs w:val="22"/>
        </w:rPr>
        <w:t>-Sepharose beads to remove Ni-NTA-</w:t>
      </w:r>
      <w:r w:rsidRPr="00C4159B">
        <w:rPr>
          <w:sz w:val="22"/>
          <w:szCs w:val="22"/>
        </w:rPr>
        <w:t xml:space="preserve">binding </w:t>
      </w:r>
      <w:r w:rsidRPr="00C4159B">
        <w:rPr>
          <w:color w:val="000000"/>
          <w:sz w:val="22"/>
          <w:szCs w:val="22"/>
        </w:rPr>
        <w:t>s</w:t>
      </w:r>
      <w:r w:rsidRPr="00C4159B">
        <w:rPr>
          <w:sz w:val="22"/>
          <w:szCs w:val="22"/>
        </w:rPr>
        <w:t>equences</w:t>
      </w:r>
      <w:r w:rsidRPr="00C4159B">
        <w:rPr>
          <w:color w:val="000000"/>
          <w:sz w:val="22"/>
          <w:szCs w:val="22"/>
        </w:rPr>
        <w:t xml:space="preserve">. In step </w:t>
      </w:r>
      <w:r w:rsidRPr="00C4159B">
        <w:rPr>
          <w:b/>
          <w:bCs/>
          <w:color w:val="000000"/>
          <w:sz w:val="22"/>
          <w:szCs w:val="22"/>
        </w:rPr>
        <w:t>B</w:t>
      </w:r>
      <w:r w:rsidRPr="00C4159B">
        <w:rPr>
          <w:color w:val="000000"/>
          <w:sz w:val="22"/>
          <w:szCs w:val="22"/>
        </w:rPr>
        <w:t xml:space="preserve">, the unbound library </w:t>
      </w:r>
      <w:r w:rsidRPr="00C4159B">
        <w:rPr>
          <w:sz w:val="22"/>
          <w:szCs w:val="22"/>
        </w:rPr>
        <w:t>is</w:t>
      </w:r>
      <w:r w:rsidRPr="00C4159B">
        <w:rPr>
          <w:color w:val="000000"/>
          <w:sz w:val="22"/>
          <w:szCs w:val="22"/>
        </w:rPr>
        <w:t xml:space="preserve"> incubated with </w:t>
      </w:r>
      <w:proofErr w:type="spellStart"/>
      <w:r w:rsidRPr="00C4159B">
        <w:rPr>
          <w:color w:val="000000"/>
          <w:sz w:val="22"/>
          <w:szCs w:val="22"/>
        </w:rPr>
        <w:t>sEGFR</w:t>
      </w:r>
      <w:proofErr w:type="spellEnd"/>
      <w:r w:rsidRPr="00C4159B">
        <w:rPr>
          <w:color w:val="000000"/>
          <w:sz w:val="22"/>
          <w:szCs w:val="22"/>
        </w:rPr>
        <w:t>-bound N</w:t>
      </w:r>
      <w:r w:rsidRPr="00C4159B">
        <w:rPr>
          <w:sz w:val="22"/>
          <w:szCs w:val="22"/>
        </w:rPr>
        <w:t>i-NTA</w:t>
      </w:r>
      <w:r w:rsidRPr="00C4159B">
        <w:rPr>
          <w:color w:val="000000"/>
          <w:sz w:val="22"/>
          <w:szCs w:val="22"/>
        </w:rPr>
        <w:t xml:space="preserve"> beads for positive selection. In Step </w:t>
      </w:r>
      <w:r w:rsidRPr="00C4159B">
        <w:rPr>
          <w:b/>
          <w:bCs/>
          <w:color w:val="000000"/>
          <w:sz w:val="22"/>
          <w:szCs w:val="22"/>
        </w:rPr>
        <w:t>C</w:t>
      </w:r>
      <w:r w:rsidRPr="00C4159B">
        <w:rPr>
          <w:color w:val="000000"/>
          <w:sz w:val="22"/>
          <w:szCs w:val="22"/>
        </w:rPr>
        <w:t xml:space="preserve">, the beads </w:t>
      </w:r>
      <w:r w:rsidRPr="00C4159B">
        <w:rPr>
          <w:sz w:val="22"/>
          <w:szCs w:val="22"/>
        </w:rPr>
        <w:t>are</w:t>
      </w:r>
      <w:r w:rsidRPr="00C4159B">
        <w:rPr>
          <w:color w:val="000000"/>
          <w:sz w:val="22"/>
          <w:szCs w:val="22"/>
        </w:rPr>
        <w:t xml:space="preserve"> washed and the bound library </w:t>
      </w:r>
      <w:r w:rsidRPr="00C4159B">
        <w:rPr>
          <w:sz w:val="22"/>
          <w:szCs w:val="22"/>
        </w:rPr>
        <w:t>is</w:t>
      </w:r>
      <w:r w:rsidRPr="00C4159B">
        <w:rPr>
          <w:color w:val="000000"/>
          <w:sz w:val="22"/>
          <w:szCs w:val="22"/>
        </w:rPr>
        <w:t xml:space="preserve"> eluted, followed by </w:t>
      </w:r>
      <w:r w:rsidRPr="00C4159B">
        <w:rPr>
          <w:sz w:val="22"/>
          <w:szCs w:val="22"/>
        </w:rPr>
        <w:t xml:space="preserve">the amplification of the eluted library by PCR in </w:t>
      </w:r>
      <w:r w:rsidRPr="00C4159B">
        <w:rPr>
          <w:color w:val="000000"/>
          <w:sz w:val="22"/>
          <w:szCs w:val="22"/>
        </w:rPr>
        <w:t xml:space="preserve">Step </w:t>
      </w:r>
      <w:r w:rsidRPr="00C4159B">
        <w:rPr>
          <w:b/>
          <w:bCs/>
          <w:color w:val="000000"/>
          <w:sz w:val="22"/>
          <w:szCs w:val="22"/>
        </w:rPr>
        <w:t>D</w:t>
      </w:r>
      <w:r w:rsidRPr="00C4159B">
        <w:rPr>
          <w:sz w:val="22"/>
          <w:szCs w:val="22"/>
        </w:rPr>
        <w:t xml:space="preserve">. </w:t>
      </w:r>
      <w:r w:rsidRPr="00C4159B">
        <w:rPr>
          <w:color w:val="000000"/>
          <w:sz w:val="22"/>
          <w:szCs w:val="22"/>
        </w:rPr>
        <w:t xml:space="preserve">Step </w:t>
      </w:r>
      <w:r w:rsidRPr="00C4159B">
        <w:rPr>
          <w:b/>
          <w:bCs/>
          <w:color w:val="000000"/>
          <w:sz w:val="22"/>
          <w:szCs w:val="22"/>
        </w:rPr>
        <w:t>E</w:t>
      </w:r>
      <w:r w:rsidRPr="00C4159B">
        <w:rPr>
          <w:color w:val="000000"/>
          <w:sz w:val="22"/>
          <w:szCs w:val="22"/>
        </w:rPr>
        <w:t xml:space="preserve"> illustrates the prepar</w:t>
      </w:r>
      <w:r w:rsidRPr="00C4159B">
        <w:rPr>
          <w:sz w:val="22"/>
          <w:szCs w:val="22"/>
        </w:rPr>
        <w:t>ation of</w:t>
      </w:r>
      <w:r w:rsidRPr="00C4159B">
        <w:rPr>
          <w:color w:val="000000"/>
          <w:sz w:val="22"/>
          <w:szCs w:val="22"/>
        </w:rPr>
        <w:t xml:space="preserve"> the ssDNA library for the </w:t>
      </w:r>
      <w:r w:rsidRPr="00C4159B">
        <w:rPr>
          <w:sz w:val="22"/>
          <w:szCs w:val="22"/>
        </w:rPr>
        <w:t>iterative-SELEX</w:t>
      </w:r>
      <w:r w:rsidRPr="00C4159B">
        <w:rPr>
          <w:color w:val="000000"/>
          <w:sz w:val="22"/>
          <w:szCs w:val="22"/>
        </w:rPr>
        <w:t xml:space="preserve">. In step </w:t>
      </w:r>
      <w:r w:rsidRPr="00C4159B">
        <w:rPr>
          <w:b/>
          <w:bCs/>
          <w:color w:val="000000"/>
          <w:sz w:val="22"/>
          <w:szCs w:val="22"/>
        </w:rPr>
        <w:t>F</w:t>
      </w:r>
      <w:r w:rsidRPr="00C4159B">
        <w:rPr>
          <w:color w:val="000000"/>
          <w:sz w:val="22"/>
          <w:szCs w:val="22"/>
        </w:rPr>
        <w:t xml:space="preserve">, the evolved ssDNA pool </w:t>
      </w:r>
      <w:r w:rsidRPr="00C4159B">
        <w:rPr>
          <w:sz w:val="22"/>
          <w:szCs w:val="22"/>
        </w:rPr>
        <w:t>is</w:t>
      </w:r>
      <w:r w:rsidRPr="00C4159B">
        <w:rPr>
          <w:color w:val="000000"/>
          <w:sz w:val="22"/>
          <w:szCs w:val="22"/>
        </w:rPr>
        <w:t xml:space="preserve"> subjected to NGS to identify the aptamers that are specific to </w:t>
      </w:r>
      <w:proofErr w:type="spellStart"/>
      <w:r w:rsidRPr="00C4159B">
        <w:rPr>
          <w:color w:val="000000"/>
          <w:sz w:val="22"/>
          <w:szCs w:val="22"/>
        </w:rPr>
        <w:t>sEGFR</w:t>
      </w:r>
      <w:proofErr w:type="spellEnd"/>
      <w:r w:rsidRPr="00C4159B">
        <w:rPr>
          <w:color w:val="000000"/>
          <w:sz w:val="22"/>
          <w:szCs w:val="22"/>
        </w:rPr>
        <w:t>.</w:t>
      </w:r>
    </w:p>
    <w:p w14:paraId="70B42BEC" w14:textId="77777777" w:rsidR="00522C5D" w:rsidRDefault="00522C5D" w:rsidP="00522C5D">
      <w:pPr>
        <w:spacing w:line="259" w:lineRule="auto"/>
        <w:ind w:left="1701" w:right="4193" w:firstLine="0"/>
        <w:jc w:val="center"/>
      </w:pPr>
      <w:r>
        <w:rPr>
          <w:noProof/>
        </w:rPr>
        <w:drawing>
          <wp:inline distT="0" distB="0" distL="0" distR="0" wp14:anchorId="0C706F79" wp14:editId="507137B8">
            <wp:extent cx="3464255" cy="3052583"/>
            <wp:effectExtent l="0" t="0" r="3175" b="0"/>
            <wp:docPr id="166" name="Pictu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1006" cy="307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</w:rPr>
        <w:t xml:space="preserve"> </w:t>
      </w:r>
    </w:p>
    <w:p w14:paraId="4B05EBDA" w14:textId="3FBBFB23" w:rsidR="00522C5D" w:rsidRDefault="00522C5D" w:rsidP="00522C5D">
      <w:pPr>
        <w:spacing w:line="480" w:lineRule="auto"/>
        <w:ind w:left="-5" w:right="-76"/>
        <w:rPr>
          <w:sz w:val="22"/>
          <w:szCs w:val="28"/>
        </w:rPr>
      </w:pPr>
      <w:r w:rsidRPr="00C4159B">
        <w:rPr>
          <w:b/>
          <w:bCs/>
          <w:color w:val="000000"/>
          <w:sz w:val="22"/>
          <w:szCs w:val="28"/>
        </w:rPr>
        <w:lastRenderedPageBreak/>
        <w:t>Supplementa</w:t>
      </w:r>
      <w:r w:rsidR="00615563">
        <w:rPr>
          <w:b/>
          <w:bCs/>
          <w:color w:val="000000"/>
          <w:sz w:val="22"/>
          <w:szCs w:val="28"/>
        </w:rPr>
        <w:t>l</w:t>
      </w:r>
      <w:r w:rsidRPr="00C4159B">
        <w:rPr>
          <w:b/>
          <w:bCs/>
          <w:sz w:val="22"/>
          <w:szCs w:val="28"/>
        </w:rPr>
        <w:t xml:space="preserve"> Figure </w:t>
      </w:r>
      <w:r>
        <w:rPr>
          <w:b/>
          <w:bCs/>
          <w:sz w:val="22"/>
          <w:szCs w:val="28"/>
        </w:rPr>
        <w:t>5</w:t>
      </w:r>
      <w:r w:rsidRPr="00C4159B">
        <w:rPr>
          <w:b/>
          <w:bCs/>
          <w:sz w:val="22"/>
          <w:szCs w:val="28"/>
        </w:rPr>
        <w:t>.</w:t>
      </w:r>
      <w:r w:rsidRPr="00C4159B">
        <w:rPr>
          <w:sz w:val="22"/>
          <w:szCs w:val="28"/>
        </w:rPr>
        <w:t xml:space="preserve"> Nucleotide distribution over the 30 positions of the central random region of the recovered 200 abundant aptamer </w:t>
      </w:r>
    </w:p>
    <w:p w14:paraId="3D35F26C" w14:textId="6D0EF692" w:rsidR="00522C5D" w:rsidRPr="00C4159B" w:rsidRDefault="00522C5D" w:rsidP="00522C5D">
      <w:pPr>
        <w:spacing w:line="480" w:lineRule="auto"/>
        <w:ind w:left="-5" w:right="-76"/>
        <w:rPr>
          <w:sz w:val="22"/>
          <w:szCs w:val="28"/>
        </w:rPr>
      </w:pPr>
      <w:r>
        <w:rPr>
          <w:noProof/>
        </w:rPr>
        <w:drawing>
          <wp:inline distT="0" distB="0" distL="0" distR="0" wp14:anchorId="2273619E" wp14:editId="3F74A0B9">
            <wp:extent cx="6134101" cy="2488692"/>
            <wp:effectExtent l="0" t="0" r="0" b="0"/>
            <wp:docPr id="712189721" name="Picture 712189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1" cy="248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7F7B">
        <w:rPr>
          <w:b/>
          <w:bCs/>
          <w:color w:val="000000"/>
          <w:sz w:val="22"/>
          <w:szCs w:val="28"/>
        </w:rPr>
        <w:t>Supplementa</w:t>
      </w:r>
      <w:r w:rsidR="00615563">
        <w:rPr>
          <w:b/>
          <w:bCs/>
          <w:color w:val="000000"/>
          <w:sz w:val="22"/>
          <w:szCs w:val="28"/>
        </w:rPr>
        <w:t>l</w:t>
      </w:r>
      <w:r w:rsidRPr="00B67F7B">
        <w:rPr>
          <w:b/>
          <w:bCs/>
          <w:sz w:val="22"/>
          <w:szCs w:val="28"/>
        </w:rPr>
        <w:t xml:space="preserve"> Figure </w:t>
      </w:r>
      <w:r>
        <w:rPr>
          <w:b/>
          <w:bCs/>
          <w:sz w:val="22"/>
          <w:szCs w:val="28"/>
        </w:rPr>
        <w:t>6</w:t>
      </w:r>
      <w:r w:rsidRPr="00B67F7B">
        <w:rPr>
          <w:b/>
          <w:bCs/>
          <w:sz w:val="22"/>
          <w:szCs w:val="28"/>
        </w:rPr>
        <w:t>.</w:t>
      </w:r>
      <w:r w:rsidRPr="00B67F7B">
        <w:rPr>
          <w:sz w:val="22"/>
          <w:szCs w:val="28"/>
        </w:rPr>
        <w:t xml:space="preserve"> MTT assay-based cytotoxicity analysis of selected aptamers in A431 cells. Dose– response inhibition curves of ten enriched aptamer candidates (Apt07, Apt30, Apt45, Apt79, Apt83, Apt102, Apt103, and Apt109) in EGFR-overexpressing A431 cells.  </w:t>
      </w:r>
    </w:p>
    <w:p w14:paraId="59A1E61C" w14:textId="77777777" w:rsidR="00522C5D" w:rsidRDefault="00522C5D" w:rsidP="00522C5D">
      <w:pPr>
        <w:spacing w:line="259" w:lineRule="auto"/>
        <w:ind w:left="0" w:right="0" w:firstLine="0"/>
        <w:jc w:val="left"/>
      </w:pPr>
      <w:r>
        <w:t xml:space="preserve"> </w:t>
      </w:r>
    </w:p>
    <w:p w14:paraId="3305A7F3" w14:textId="77777777" w:rsidR="00522C5D" w:rsidRDefault="00522C5D" w:rsidP="00522C5D">
      <w:pPr>
        <w:spacing w:line="259" w:lineRule="auto"/>
        <w:ind w:left="-2" w:right="62" w:firstLine="0"/>
        <w:jc w:val="right"/>
      </w:pPr>
      <w:r>
        <w:rPr>
          <w:noProof/>
        </w:rPr>
        <w:drawing>
          <wp:inline distT="0" distB="0" distL="0" distR="0" wp14:anchorId="7846A721" wp14:editId="49869998">
            <wp:extent cx="6181646" cy="2425805"/>
            <wp:effectExtent l="0" t="0" r="0" b="0"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653" cy="24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14:paraId="7B08DEB4" w14:textId="68B3EF76" w:rsidR="00522C5D" w:rsidRPr="00B67F7B" w:rsidRDefault="00522C5D" w:rsidP="00522C5D">
      <w:pPr>
        <w:spacing w:line="480" w:lineRule="auto"/>
        <w:ind w:left="-5" w:right="-76"/>
        <w:rPr>
          <w:sz w:val="22"/>
          <w:szCs w:val="28"/>
        </w:rPr>
      </w:pPr>
      <w:r w:rsidRPr="00B67F7B">
        <w:rPr>
          <w:b/>
          <w:bCs/>
          <w:color w:val="000000"/>
          <w:sz w:val="22"/>
          <w:szCs w:val="28"/>
        </w:rPr>
        <w:t>Supplementa</w:t>
      </w:r>
      <w:r w:rsidR="00615563">
        <w:rPr>
          <w:b/>
          <w:bCs/>
          <w:color w:val="000000"/>
          <w:sz w:val="22"/>
          <w:szCs w:val="28"/>
        </w:rPr>
        <w:t>l</w:t>
      </w:r>
      <w:r w:rsidRPr="00B67F7B">
        <w:rPr>
          <w:b/>
          <w:bCs/>
          <w:sz w:val="22"/>
          <w:szCs w:val="28"/>
        </w:rPr>
        <w:t xml:space="preserve"> Figure </w:t>
      </w:r>
      <w:r>
        <w:rPr>
          <w:b/>
          <w:bCs/>
          <w:sz w:val="22"/>
          <w:szCs w:val="28"/>
        </w:rPr>
        <w:t>7</w:t>
      </w:r>
      <w:r w:rsidRPr="00B67F7B">
        <w:rPr>
          <w:sz w:val="22"/>
          <w:szCs w:val="28"/>
        </w:rPr>
        <w:t xml:space="preserve">. MTT assay-based cytotoxicity analysis of selected aptamers in A549 cells. Dose– response inhibition curves of ten enriched aptamer candidates (Apt07, Apt30, Apt45, Apt79, Apt83, Apt102, Apt103, and Apt109) in EGFR-moderate expressing A549 cells. </w:t>
      </w:r>
    </w:p>
    <w:p w14:paraId="1E549FE5" w14:textId="77777777" w:rsidR="00522C5D" w:rsidRDefault="00522C5D" w:rsidP="00522C5D">
      <w:pPr>
        <w:spacing w:line="259" w:lineRule="auto"/>
        <w:ind w:left="0" w:right="0" w:firstLine="0"/>
        <w:jc w:val="left"/>
      </w:pPr>
      <w:r>
        <w:t xml:space="preserve"> </w:t>
      </w:r>
    </w:p>
    <w:p w14:paraId="2F86DB73" w14:textId="77777777" w:rsidR="00522C5D" w:rsidRDefault="00522C5D" w:rsidP="00522C5D">
      <w:pPr>
        <w:spacing w:line="259" w:lineRule="auto"/>
        <w:ind w:left="-2" w:right="94" w:firstLine="0"/>
        <w:jc w:val="right"/>
      </w:pPr>
      <w:r>
        <w:rPr>
          <w:noProof/>
        </w:rPr>
        <w:lastRenderedPageBreak/>
        <w:drawing>
          <wp:inline distT="0" distB="0" distL="0" distR="0" wp14:anchorId="4BBF38C1" wp14:editId="01F12A78">
            <wp:extent cx="6071617" cy="2449068"/>
            <wp:effectExtent l="0" t="0" r="0" b="0"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1617" cy="244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</w:p>
    <w:p w14:paraId="639D9AA6" w14:textId="65B5C2A5" w:rsidR="00522C5D" w:rsidRDefault="00522C5D" w:rsidP="00522C5D">
      <w:pPr>
        <w:spacing w:line="480" w:lineRule="auto"/>
        <w:ind w:left="-5" w:right="66"/>
        <w:rPr>
          <w:sz w:val="22"/>
          <w:szCs w:val="28"/>
        </w:rPr>
      </w:pPr>
      <w:r w:rsidRPr="00B67F7B">
        <w:rPr>
          <w:b/>
          <w:bCs/>
          <w:color w:val="000000"/>
          <w:sz w:val="22"/>
          <w:szCs w:val="28"/>
        </w:rPr>
        <w:t>Supplementa</w:t>
      </w:r>
      <w:r w:rsidR="00615563">
        <w:rPr>
          <w:b/>
          <w:bCs/>
          <w:color w:val="000000"/>
          <w:sz w:val="22"/>
          <w:szCs w:val="28"/>
        </w:rPr>
        <w:t>l</w:t>
      </w:r>
      <w:r w:rsidRPr="00B67F7B">
        <w:rPr>
          <w:b/>
          <w:bCs/>
          <w:sz w:val="22"/>
          <w:szCs w:val="28"/>
        </w:rPr>
        <w:t xml:space="preserve"> Figure </w:t>
      </w:r>
      <w:r>
        <w:rPr>
          <w:b/>
          <w:bCs/>
          <w:sz w:val="22"/>
          <w:szCs w:val="28"/>
        </w:rPr>
        <w:t>8</w:t>
      </w:r>
      <w:r w:rsidRPr="00B67F7B">
        <w:rPr>
          <w:b/>
          <w:bCs/>
          <w:sz w:val="22"/>
          <w:szCs w:val="28"/>
        </w:rPr>
        <w:t>.</w:t>
      </w:r>
      <w:r w:rsidRPr="00B67F7B">
        <w:rPr>
          <w:sz w:val="22"/>
          <w:szCs w:val="28"/>
        </w:rPr>
        <w:t xml:space="preserve"> MTT assay-based cytotoxicity analysis of selected aptamers in </w:t>
      </w:r>
      <w:proofErr w:type="spellStart"/>
      <w:r w:rsidRPr="00B67F7B">
        <w:rPr>
          <w:sz w:val="22"/>
          <w:szCs w:val="28"/>
        </w:rPr>
        <w:t>Jurkat</w:t>
      </w:r>
      <w:proofErr w:type="spellEnd"/>
      <w:r w:rsidRPr="00B67F7B">
        <w:rPr>
          <w:sz w:val="22"/>
          <w:szCs w:val="28"/>
        </w:rPr>
        <w:t xml:space="preserve"> cells. </w:t>
      </w:r>
      <w:proofErr w:type="spellStart"/>
      <w:r w:rsidRPr="00B67F7B">
        <w:rPr>
          <w:sz w:val="22"/>
          <w:szCs w:val="28"/>
        </w:rPr>
        <w:t>Doseresponse</w:t>
      </w:r>
      <w:proofErr w:type="spellEnd"/>
      <w:r w:rsidRPr="00B67F7B">
        <w:rPr>
          <w:sz w:val="22"/>
          <w:szCs w:val="28"/>
        </w:rPr>
        <w:t xml:space="preserve"> inhibition curves of ten enriched aptamer candidates (Apt07, Apt30, Apt45, Apt79, Apt83, Apt102, Apt103, and Apt109) in EGFR-negative </w:t>
      </w:r>
      <w:proofErr w:type="spellStart"/>
      <w:r w:rsidRPr="00B67F7B">
        <w:rPr>
          <w:sz w:val="22"/>
          <w:szCs w:val="28"/>
        </w:rPr>
        <w:t>Jurkat</w:t>
      </w:r>
      <w:proofErr w:type="spellEnd"/>
      <w:r w:rsidRPr="00B67F7B">
        <w:rPr>
          <w:sz w:val="22"/>
          <w:szCs w:val="28"/>
        </w:rPr>
        <w:t xml:space="preserve"> cells. </w:t>
      </w:r>
    </w:p>
    <w:p w14:paraId="4486A2D5" w14:textId="69E3CBBE" w:rsidR="00013CA7" w:rsidRDefault="00013CA7" w:rsidP="00522C5D">
      <w:pPr>
        <w:spacing w:line="480" w:lineRule="auto"/>
        <w:ind w:left="-5" w:right="66"/>
        <w:rPr>
          <w:sz w:val="22"/>
          <w:szCs w:val="28"/>
        </w:rPr>
      </w:pPr>
      <w:r>
        <w:rPr>
          <w:noProof/>
        </w:rPr>
        <w:drawing>
          <wp:inline distT="0" distB="0" distL="0" distR="0" wp14:anchorId="16D80BF2" wp14:editId="7771E8F5">
            <wp:extent cx="6019800" cy="4618123"/>
            <wp:effectExtent l="0" t="0" r="0" b="0"/>
            <wp:docPr id="1673568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59" cy="462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299F2" w14:textId="6A55AC12" w:rsidR="00013CA7" w:rsidRPr="00C17FEA" w:rsidRDefault="00013CA7" w:rsidP="00013CA7">
      <w:pPr>
        <w:spacing w:line="480" w:lineRule="auto"/>
        <w:ind w:left="-142" w:right="-410"/>
        <w:rPr>
          <w:sz w:val="24"/>
        </w:rPr>
      </w:pPr>
      <w:r w:rsidRPr="00013CA7">
        <w:rPr>
          <w:b/>
          <w:bCs/>
          <w:sz w:val="22"/>
          <w:szCs w:val="28"/>
        </w:rPr>
        <w:lastRenderedPageBreak/>
        <w:t>Supplementa</w:t>
      </w:r>
      <w:r w:rsidR="00615563">
        <w:rPr>
          <w:b/>
          <w:bCs/>
          <w:sz w:val="22"/>
          <w:szCs w:val="28"/>
        </w:rPr>
        <w:t>l</w:t>
      </w:r>
      <w:r w:rsidRPr="00013CA7">
        <w:rPr>
          <w:b/>
          <w:bCs/>
          <w:sz w:val="22"/>
          <w:szCs w:val="28"/>
        </w:rPr>
        <w:t xml:space="preserve"> Figure 9. </w:t>
      </w:r>
      <w:r w:rsidRPr="00C17FEA">
        <w:rPr>
          <w:b/>
          <w:bCs/>
          <w:sz w:val="24"/>
          <w:highlight w:val="white"/>
        </w:rPr>
        <w:t>Secondary structure analysis of selected aptamers.</w:t>
      </w:r>
      <w:r w:rsidRPr="00C17FEA">
        <w:rPr>
          <w:sz w:val="24"/>
          <w:highlight w:val="white"/>
        </w:rPr>
        <w:t xml:space="preserve"> </w:t>
      </w:r>
      <w:r w:rsidRPr="00C17FEA">
        <w:rPr>
          <w:b/>
          <w:bCs/>
          <w:sz w:val="24"/>
          <w:highlight w:val="white"/>
        </w:rPr>
        <w:t>(A)</w:t>
      </w:r>
      <w:r w:rsidRPr="00C17FEA">
        <w:rPr>
          <w:sz w:val="24"/>
          <w:highlight w:val="white"/>
        </w:rPr>
        <w:t xml:space="preserve"> The secondary structures of Apt27, Apt64, and Apt109, predicted using the </w:t>
      </w:r>
      <w:proofErr w:type="spellStart"/>
      <w:r w:rsidRPr="00C17FEA">
        <w:rPr>
          <w:sz w:val="24"/>
          <w:highlight w:val="white"/>
        </w:rPr>
        <w:t>NuPACK</w:t>
      </w:r>
      <w:proofErr w:type="spellEnd"/>
      <w:r w:rsidRPr="00C17FEA">
        <w:rPr>
          <w:sz w:val="24"/>
          <w:highlight w:val="white"/>
        </w:rPr>
        <w:t xml:space="preserve"> web server, showed stable stem-loop arrangements and G-rich sequences capable of forming G4 motifs (top panel). </w:t>
      </w:r>
      <w:r w:rsidRPr="00C17FEA">
        <w:rPr>
          <w:b/>
          <w:bCs/>
          <w:sz w:val="24"/>
          <w:highlight w:val="white"/>
        </w:rPr>
        <w:t>(B)</w:t>
      </w:r>
      <w:r w:rsidRPr="00C17FEA">
        <w:rPr>
          <w:sz w:val="24"/>
          <w:highlight w:val="white"/>
        </w:rPr>
        <w:t xml:space="preserve"> CD spectroscopy was performed at two different concentrations (10 µM and 20 µM) (bottom panel). Apt27, Apt64, and Apt109 exhibited parallel G4 topology, with a strong positive peak at ~260 nm and a negative peak at ~240 nm. These CD signatures confirm that all selected aptamers fold into stable G4 structures. </w:t>
      </w:r>
      <w:r w:rsidRPr="00C17FEA">
        <w:rPr>
          <w:b/>
          <w:bCs/>
          <w:sz w:val="24"/>
          <w:highlight w:val="white"/>
        </w:rPr>
        <w:t>(C)</w:t>
      </w:r>
      <w:r w:rsidRPr="00C17FEA">
        <w:rPr>
          <w:sz w:val="24"/>
        </w:rPr>
        <w:t xml:space="preserve"> Thermal stability assessment of Apt27, Apt64, &amp; Apt109 was performed between 25°C and 95°C by CD spectroscopy and the melting curves were generated to evaluate thermal stability of their G4 conformations. Spectra were recorded in the 200-320 nm wavelength range.</w:t>
      </w:r>
    </w:p>
    <w:p w14:paraId="42CCEE14" w14:textId="76A8A437" w:rsidR="00013CA7" w:rsidRDefault="00013CA7" w:rsidP="00522C5D">
      <w:pPr>
        <w:spacing w:line="480" w:lineRule="auto"/>
        <w:ind w:left="-5" w:right="66"/>
        <w:rPr>
          <w:b/>
          <w:bCs/>
          <w:sz w:val="22"/>
          <w:szCs w:val="28"/>
        </w:rPr>
      </w:pPr>
    </w:p>
    <w:p w14:paraId="60106D94" w14:textId="3F0BA345" w:rsidR="00013CA7" w:rsidRDefault="00013CA7" w:rsidP="00522C5D">
      <w:pPr>
        <w:spacing w:line="480" w:lineRule="auto"/>
        <w:ind w:left="-5" w:right="66"/>
        <w:rPr>
          <w:b/>
          <w:bCs/>
          <w:sz w:val="22"/>
          <w:szCs w:val="28"/>
        </w:rPr>
      </w:pPr>
      <w:r>
        <w:rPr>
          <w:noProof/>
        </w:rPr>
        <w:drawing>
          <wp:inline distT="0" distB="0" distL="0" distR="0" wp14:anchorId="65A8B4D2" wp14:editId="4DF1AD3B">
            <wp:extent cx="6162675" cy="4742815"/>
            <wp:effectExtent l="0" t="0" r="9525" b="635"/>
            <wp:docPr id="19087837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7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DABD4" w14:textId="78A24AD9" w:rsidR="00522C5D" w:rsidRPr="005E629E" w:rsidRDefault="00013CA7" w:rsidP="005E629E">
      <w:pPr>
        <w:spacing w:after="200" w:line="480" w:lineRule="auto"/>
        <w:ind w:left="-142" w:right="-410"/>
        <w:rPr>
          <w:sz w:val="24"/>
          <w:highlight w:val="white"/>
        </w:rPr>
      </w:pPr>
      <w:r>
        <w:rPr>
          <w:b/>
          <w:bCs/>
          <w:sz w:val="22"/>
          <w:szCs w:val="28"/>
        </w:rPr>
        <w:lastRenderedPageBreak/>
        <w:t>Supplementa</w:t>
      </w:r>
      <w:r w:rsidR="00615563">
        <w:rPr>
          <w:b/>
          <w:bCs/>
          <w:sz w:val="22"/>
          <w:szCs w:val="28"/>
        </w:rPr>
        <w:t>l</w:t>
      </w:r>
      <w:r>
        <w:rPr>
          <w:b/>
          <w:bCs/>
          <w:sz w:val="22"/>
          <w:szCs w:val="28"/>
        </w:rPr>
        <w:t xml:space="preserve"> Figure 10. </w:t>
      </w:r>
      <w:r w:rsidRPr="00C17FEA">
        <w:rPr>
          <w:b/>
          <w:bCs/>
          <w:sz w:val="24"/>
          <w:highlight w:val="white"/>
        </w:rPr>
        <w:t>Binding affinities of the selected aptamers by MST.</w:t>
      </w:r>
      <w:r w:rsidRPr="00C17FEA">
        <w:rPr>
          <w:sz w:val="24"/>
          <w:highlight w:val="white"/>
        </w:rPr>
        <w:t xml:space="preserve"> MST analysis of Apt27, Apt64 and Apt109 against </w:t>
      </w:r>
      <w:proofErr w:type="spellStart"/>
      <w:r w:rsidRPr="00C17FEA">
        <w:rPr>
          <w:sz w:val="24"/>
          <w:highlight w:val="white"/>
        </w:rPr>
        <w:t>sEGFR</w:t>
      </w:r>
      <w:proofErr w:type="spellEnd"/>
      <w:r w:rsidRPr="00C17FEA">
        <w:rPr>
          <w:sz w:val="24"/>
          <w:highlight w:val="white"/>
        </w:rPr>
        <w:t xml:space="preserve"> suggested that Apt64 exhibited the highest binding affinity for </w:t>
      </w:r>
      <w:proofErr w:type="spellStart"/>
      <w:r w:rsidRPr="00C17FEA">
        <w:rPr>
          <w:sz w:val="24"/>
          <w:highlight w:val="white"/>
        </w:rPr>
        <w:t>sEGFR</w:t>
      </w:r>
      <w:proofErr w:type="spellEnd"/>
      <w:r w:rsidRPr="00C17FEA">
        <w:rPr>
          <w:sz w:val="24"/>
          <w:highlight w:val="white"/>
        </w:rPr>
        <w:t xml:space="preserve"> (</w:t>
      </w:r>
      <w:proofErr w:type="spellStart"/>
      <w:r w:rsidRPr="00C17FEA">
        <w:rPr>
          <w:i/>
          <w:iCs/>
          <w:sz w:val="24"/>
          <w:highlight w:val="white"/>
        </w:rPr>
        <w:t>Kd</w:t>
      </w:r>
      <w:proofErr w:type="spellEnd"/>
      <w:r w:rsidRPr="00C17FEA">
        <w:rPr>
          <w:sz w:val="24"/>
          <w:highlight w:val="white"/>
        </w:rPr>
        <w:t xml:space="preserve"> = 25.77 </w:t>
      </w:r>
      <w:proofErr w:type="spellStart"/>
      <w:r w:rsidRPr="00C17FEA">
        <w:rPr>
          <w:sz w:val="24"/>
          <w:highlight w:val="white"/>
        </w:rPr>
        <w:t>nM</w:t>
      </w:r>
      <w:proofErr w:type="spellEnd"/>
      <w:r w:rsidRPr="00C17FEA">
        <w:rPr>
          <w:sz w:val="24"/>
          <w:highlight w:val="white"/>
        </w:rPr>
        <w:t>), which is at par with that of Cetuximab (</w:t>
      </w:r>
      <w:proofErr w:type="spellStart"/>
      <w:r w:rsidRPr="00C17FEA">
        <w:rPr>
          <w:i/>
          <w:iCs/>
          <w:sz w:val="24"/>
          <w:highlight w:val="white"/>
        </w:rPr>
        <w:t>Kd</w:t>
      </w:r>
      <w:proofErr w:type="spellEnd"/>
      <w:r w:rsidRPr="00C17FEA">
        <w:rPr>
          <w:sz w:val="24"/>
          <w:highlight w:val="white"/>
        </w:rPr>
        <w:t xml:space="preserve"> = 8.98 </w:t>
      </w:r>
      <w:proofErr w:type="spellStart"/>
      <w:r w:rsidRPr="00C17FEA">
        <w:rPr>
          <w:sz w:val="24"/>
          <w:highlight w:val="white"/>
        </w:rPr>
        <w:t>nM</w:t>
      </w:r>
      <w:proofErr w:type="spellEnd"/>
      <w:r w:rsidRPr="00C17FEA">
        <w:rPr>
          <w:sz w:val="24"/>
          <w:highlight w:val="white"/>
        </w:rPr>
        <w:t xml:space="preserve">). Shown are the binding affinities of </w:t>
      </w:r>
      <w:r w:rsidRPr="00C17FEA">
        <w:rPr>
          <w:b/>
          <w:bCs/>
          <w:sz w:val="24"/>
          <w:highlight w:val="white"/>
        </w:rPr>
        <w:t>A.</w:t>
      </w:r>
      <w:r w:rsidRPr="00C17FEA">
        <w:rPr>
          <w:sz w:val="24"/>
          <w:highlight w:val="white"/>
        </w:rPr>
        <w:t xml:space="preserve"> Apt27, </w:t>
      </w:r>
      <w:r w:rsidRPr="00C17FEA">
        <w:rPr>
          <w:b/>
          <w:bCs/>
          <w:sz w:val="24"/>
          <w:highlight w:val="white"/>
        </w:rPr>
        <w:t>B.</w:t>
      </w:r>
      <w:r w:rsidRPr="00C17FEA">
        <w:rPr>
          <w:sz w:val="24"/>
          <w:highlight w:val="white"/>
        </w:rPr>
        <w:t xml:space="preserve"> Apt64, </w:t>
      </w:r>
      <w:r w:rsidRPr="00C17FEA">
        <w:rPr>
          <w:b/>
          <w:bCs/>
          <w:sz w:val="24"/>
          <w:highlight w:val="white"/>
        </w:rPr>
        <w:t>C.</w:t>
      </w:r>
      <w:r w:rsidRPr="00C17FEA">
        <w:rPr>
          <w:sz w:val="24"/>
          <w:highlight w:val="white"/>
        </w:rPr>
        <w:t xml:space="preserve"> Apt109, </w:t>
      </w:r>
      <w:r w:rsidRPr="00C17FEA">
        <w:rPr>
          <w:b/>
          <w:bCs/>
          <w:sz w:val="24"/>
          <w:highlight w:val="white"/>
        </w:rPr>
        <w:t>D.</w:t>
      </w:r>
      <w:r w:rsidRPr="00C17FEA">
        <w:rPr>
          <w:sz w:val="24"/>
          <w:highlight w:val="white"/>
        </w:rPr>
        <w:t xml:space="preserve"> Cetuximab.</w:t>
      </w:r>
    </w:p>
    <w:p w14:paraId="5DC23CB2" w14:textId="77777777" w:rsidR="00522C5D" w:rsidRDefault="00522C5D" w:rsidP="00522C5D">
      <w:pPr>
        <w:ind w:left="-5" w:right="231"/>
      </w:pPr>
      <w:r>
        <w:rPr>
          <w:noProof/>
        </w:rPr>
        <w:drawing>
          <wp:inline distT="0" distB="0" distL="0" distR="0" wp14:anchorId="1FCADDEA" wp14:editId="44B02190">
            <wp:extent cx="6162675" cy="1965960"/>
            <wp:effectExtent l="0" t="0" r="9525" b="0"/>
            <wp:docPr id="10479496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5D4A" w14:textId="1276A266" w:rsidR="00522C5D" w:rsidRPr="00B67F7B" w:rsidRDefault="00522C5D" w:rsidP="00522C5D">
      <w:pPr>
        <w:shd w:val="clear" w:color="auto" w:fill="FFFFFF"/>
        <w:spacing w:line="480" w:lineRule="auto"/>
        <w:ind w:left="-142" w:right="66"/>
        <w:rPr>
          <w:sz w:val="22"/>
          <w:szCs w:val="22"/>
          <w:highlight w:val="white"/>
        </w:rPr>
      </w:pPr>
      <w:r w:rsidRPr="00B67F7B">
        <w:rPr>
          <w:b/>
          <w:bCs/>
          <w:sz w:val="22"/>
          <w:szCs w:val="22"/>
          <w:highlight w:val="white"/>
        </w:rPr>
        <w:t>Supplementa</w:t>
      </w:r>
      <w:r w:rsidR="00615563">
        <w:rPr>
          <w:b/>
          <w:bCs/>
          <w:sz w:val="22"/>
          <w:szCs w:val="22"/>
          <w:highlight w:val="white"/>
        </w:rPr>
        <w:t>l</w:t>
      </w:r>
      <w:r w:rsidRPr="00B67F7B">
        <w:rPr>
          <w:b/>
          <w:bCs/>
          <w:sz w:val="22"/>
          <w:szCs w:val="22"/>
          <w:highlight w:val="white"/>
        </w:rPr>
        <w:t xml:space="preserve"> Figure </w:t>
      </w:r>
      <w:r w:rsidR="00013CA7">
        <w:rPr>
          <w:b/>
          <w:bCs/>
          <w:sz w:val="22"/>
          <w:szCs w:val="22"/>
          <w:highlight w:val="white"/>
        </w:rPr>
        <w:t>11</w:t>
      </w:r>
      <w:r w:rsidRPr="00B67F7B">
        <w:rPr>
          <w:b/>
          <w:bCs/>
          <w:sz w:val="22"/>
          <w:szCs w:val="22"/>
          <w:highlight w:val="white"/>
        </w:rPr>
        <w:t>. Serum stability of Apt64. (A)</w:t>
      </w:r>
      <w:r w:rsidRPr="00B67F7B">
        <w:rPr>
          <w:sz w:val="22"/>
          <w:szCs w:val="22"/>
          <w:highlight w:val="white"/>
        </w:rPr>
        <w:t xml:space="preserve"> Denaturing PAGE analysis of Apt64 (30-nt) incubated in 50% human AB serum at 37 °C for the indicated time points (0-216 h). The intact band corresponding to Apt64 remained clearly visible at least up to 144 h, but was barely visible starting from 168 h onwards. </w:t>
      </w:r>
      <w:r w:rsidRPr="00B67F7B">
        <w:rPr>
          <w:b/>
          <w:bCs/>
          <w:sz w:val="22"/>
          <w:szCs w:val="22"/>
          <w:highlight w:val="white"/>
        </w:rPr>
        <w:t>(B)</w:t>
      </w:r>
      <w:r w:rsidRPr="00B67F7B">
        <w:rPr>
          <w:sz w:val="22"/>
          <w:szCs w:val="22"/>
          <w:highlight w:val="white"/>
        </w:rPr>
        <w:t xml:space="preserve"> Densitometric quantification of the full length Apt64, averaged from three independent experiments (mean ± SD), showing gradual degradation with a calculated half-life of ~129 h.</w:t>
      </w:r>
    </w:p>
    <w:p w14:paraId="6EB2D5D5" w14:textId="77777777" w:rsidR="00522C5D" w:rsidRPr="00B67F7B" w:rsidRDefault="00522C5D" w:rsidP="00522C5D">
      <w:pPr>
        <w:spacing w:line="480" w:lineRule="auto"/>
        <w:ind w:left="-5" w:right="66"/>
        <w:rPr>
          <w:sz w:val="22"/>
          <w:szCs w:val="28"/>
        </w:rPr>
      </w:pPr>
    </w:p>
    <w:p w14:paraId="3042C446" w14:textId="77777777" w:rsidR="00522C5D" w:rsidRDefault="00522C5D" w:rsidP="00522C5D">
      <w:pPr>
        <w:ind w:left="-5" w:right="231"/>
      </w:pPr>
    </w:p>
    <w:p w14:paraId="59D58DF7" w14:textId="77777777" w:rsidR="00522C5D" w:rsidRPr="00C4159B" w:rsidRDefault="00522C5D" w:rsidP="00522C5D">
      <w:pPr>
        <w:spacing w:line="480" w:lineRule="auto"/>
        <w:ind w:left="-142" w:right="-218"/>
        <w:rPr>
          <w:color w:val="000000"/>
          <w:sz w:val="22"/>
          <w:szCs w:val="22"/>
        </w:rPr>
      </w:pPr>
    </w:p>
    <w:p w14:paraId="1049E193" w14:textId="0DE844E6" w:rsidR="00424511" w:rsidRDefault="00424511" w:rsidP="00522C5D">
      <w:pPr>
        <w:spacing w:after="31" w:line="259" w:lineRule="auto"/>
        <w:ind w:left="0" w:right="0" w:firstLine="0"/>
        <w:jc w:val="left"/>
      </w:pPr>
    </w:p>
    <w:sectPr w:rsidR="00424511">
      <w:pgSz w:w="12240" w:h="15840"/>
      <w:pgMar w:top="1351" w:right="1196" w:bottom="1383" w:left="133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11"/>
    <w:rsid w:val="00013CA7"/>
    <w:rsid w:val="000D640F"/>
    <w:rsid w:val="00424511"/>
    <w:rsid w:val="00522C5D"/>
    <w:rsid w:val="0054428E"/>
    <w:rsid w:val="005E629E"/>
    <w:rsid w:val="00615563"/>
    <w:rsid w:val="00660247"/>
    <w:rsid w:val="006B49ED"/>
    <w:rsid w:val="00B67F7B"/>
    <w:rsid w:val="00B83D59"/>
    <w:rsid w:val="00C4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BC255"/>
  <w15:docId w15:val="{856ADB64-88D8-4F77-A36B-7356C24A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N" w:eastAsia="en-I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75" w:lineRule="auto"/>
      <w:ind w:left="10" w:right="246" w:hanging="10"/>
      <w:jc w:val="both"/>
    </w:pPr>
    <w:rPr>
      <w:rFonts w:ascii="Times New Roman" w:eastAsia="Times New Roman" w:hAnsi="Times New Roman" w:cs="Times New Roman"/>
      <w:color w:val="222222"/>
      <w:sz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7" w:line="259" w:lineRule="auto"/>
      <w:ind w:left="533"/>
      <w:outlineLvl w:val="0"/>
    </w:pPr>
    <w:rPr>
      <w:rFonts w:ascii="Times New Roman" w:eastAsia="Times New Roman" w:hAnsi="Times New Roman" w:cs="Times New Roman"/>
      <w:color w:val="222222"/>
      <w:u w:val="single" w:color="2222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222222"/>
      <w:sz w:val="24"/>
      <w:u w:val="single" w:color="2222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tiff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Supplementary Information</vt:lpstr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Supplementary Information</dc:title>
  <dc:subject/>
  <dc:creator>Saras Tiwari</dc:creator>
  <cp:keywords/>
  <cp:lastModifiedBy>Deepa Singh</cp:lastModifiedBy>
  <cp:revision>2</cp:revision>
  <cp:lastPrinted>2026-03-05T11:32:00Z</cp:lastPrinted>
  <dcterms:created xsi:type="dcterms:W3CDTF">2026-03-31T07:09:00Z</dcterms:created>
  <dcterms:modified xsi:type="dcterms:W3CDTF">2026-03-31T07:09:00Z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72a30cc7-ff19-4836-bab6-b09e913a3d05</vt:lpwstr>
  </property>
</Properties>
</file>