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0"/>
      </w:pPr>
      <w:r>
        <w:rPr>
          <w:rFonts w:ascii="Arial" w:cs="Arial" w:eastAsia="Arial" w:hAnsi="Arial"/>
          <w:b/>
          <w:bCs/>
          <w:color w:val="4472C4"/>
          <w:sz w:val="22"/>
          <w:szCs w:val="22"/>
        </w:rPr>
        <w:t xml:space="preserve">Supplementary File 2</w:t>
      </w:r>
    </w:p>
    <w:p>
      <w:pPr>
        <w:spacing w:after="80" w:before="80"/>
      </w:pPr>
      <w:r>
        <w:rPr>
          <w:rFonts w:ascii="Arial" w:cs="Arial" w:eastAsia="Arial" w:hAnsi="Arial"/>
          <w:b/>
          <w:bCs/>
          <w:sz w:val="28"/>
          <w:szCs w:val="28"/>
        </w:rPr>
        <w:t xml:space="preserve">OSCE Stations: Scoring Rubrics and Examiner Instructions</w:t>
      </w:r>
    </w:p>
    <w:p>
      <w:pPr>
        <w:spacing w:after="200" w:before="0"/>
      </w:pPr>
      <w:r>
        <w:rPr>
          <w:rFonts w:ascii="Arial" w:cs="Arial" w:eastAsia="Arial" w:hAnsi="Arial"/>
          <w:i/>
          <w:iCs/>
          <w:sz w:val="20"/>
          <w:szCs w:val="20"/>
        </w:rPr>
        <w:t>Peer Teaching Supports Clinical Reasoning in Pediatric Dentistry Education</w:t>
      </w:r>
    </w:p>
    <w:p>
      <w:pPr>
        <w:pBdr>
          <w:bottom w:val="single" w:color="4472C4" w:sz="6" w:space="1"/>
        </w:pBdr>
        <w:spacing w:after="200" w:before="0"/>
      </w:pPr>
      <w:r>
        <w:t xml:space="preserve"/>
      </w:r>
    </w:p>
    <w:p>
      <w:pPr>
        <w:pStyle w:val="Heading1"/>
        <w:spacing w:after="180" w:before="360"/>
      </w:pPr>
      <w:r>
        <w:rPr>
          <w:rFonts w:ascii="Arial" w:cs="Arial" w:eastAsia="Arial" w:hAnsi="Arial"/>
          <w:b/>
          <w:bCs/>
          <w:sz w:val="28"/>
          <w:szCs w:val="28"/>
        </w:rPr>
        <w:t xml:space="preserve">1. Overview of the OSCE Assessment</w:t>
      </w:r>
    </w:p>
    <w:p>
      <w:pPr>
        <w:spacing w:after="80" w:before="60"/>
      </w:pPr>
      <w:r>
        <w:rPr>
          <w:rFonts w:ascii="Arial" w:cs="Arial" w:eastAsia="Arial" w:hAnsi="Arial"/>
          <w:i w:val="false"/>
          <w:iCs w:val="false"/>
          <w:sz w:val="20"/>
          <w:szCs w:val="20"/>
        </w:rPr>
        <w:t xml:space="preserve">The Objective Structured Clinical Examination (OSCE) was used as the primary performance-based assessment tool in this study. The OSCE was designed to evaluate three interconnected competency domains: diagnostic accuracy, clinical reasoning, and communication with a standardized parent actor. Each student completed the OSCE individually following the intervention or control period. Assessors were trained, calibrated, and blinded to group allocation. All student answer sheets were anonymized and coded prior to scoring.</w:t>
      </w:r>
    </w:p>
    <w:p>
      <w:pPr>
        <w:spacing w:after="60" w:before="60"/>
      </w:pPr>
      <w:r>
        <w:t xml:space="preserve"/>
      </w:r>
    </w:p>
    <w:p>
      <w:pPr>
        <w:pStyle w:val="Heading1"/>
        <w:spacing w:after="180" w:before="360"/>
      </w:pPr>
      <w:r>
        <w:rPr>
          <w:rFonts w:ascii="Arial" w:cs="Arial" w:eastAsia="Arial" w:hAnsi="Arial"/>
          <w:b/>
          <w:bCs/>
          <w:sz w:val="28"/>
          <w:szCs w:val="28"/>
        </w:rPr>
        <w:t xml:space="preserve">2. Standardized Pediatric Dentistry Case Scenario</w:t>
      </w:r>
    </w:p>
    <w:p>
      <w:pPr>
        <w:pStyle w:val="Heading2"/>
        <w:spacing w:after="120" w:before="240"/>
      </w:pPr>
      <w:r>
        <w:rPr>
          <w:rFonts w:ascii="Arial" w:cs="Arial" w:eastAsia="Arial" w:hAnsi="Arial"/>
          <w:b/>
          <w:bCs/>
          <w:sz w:val="24"/>
          <w:szCs w:val="24"/>
        </w:rPr>
        <w:t xml:space="preserve">Patient Information</w:t>
      </w:r>
    </w:p>
    <w:p>
      <w:pPr>
        <w:spacing w:after="80" w:before="60"/>
      </w:pPr>
      <w:r>
        <w:rPr>
          <w:rFonts w:ascii="Arial" w:cs="Arial" w:eastAsia="Arial" w:hAnsi="Arial"/>
          <w:i w:val="false"/>
          <w:iCs w:val="false"/>
          <w:sz w:val="20"/>
          <w:szCs w:val="20"/>
        </w:rPr>
        <w:t xml:space="preserve">Name (standardized): Child A</w:t>
      </w:r>
    </w:p>
    <w:p>
      <w:pPr>
        <w:spacing w:after="80" w:before="60"/>
      </w:pPr>
      <w:r>
        <w:rPr>
          <w:rFonts w:ascii="Arial" w:cs="Arial" w:eastAsia="Arial" w:hAnsi="Arial"/>
          <w:i w:val="false"/>
          <w:iCs w:val="false"/>
          <w:sz w:val="20"/>
          <w:szCs w:val="20"/>
        </w:rPr>
        <w:t xml:space="preserve">Age: 5 years</w:t>
      </w:r>
    </w:p>
    <w:p>
      <w:pPr>
        <w:spacing w:after="80" w:before="60"/>
      </w:pPr>
      <w:r>
        <w:rPr>
          <w:rFonts w:ascii="Arial" w:cs="Arial" w:eastAsia="Arial" w:hAnsi="Arial"/>
          <w:i w:val="false"/>
          <w:iCs w:val="false"/>
          <w:sz w:val="20"/>
          <w:szCs w:val="20"/>
        </w:rPr>
        <w:t xml:space="preserve">Presenting complaint: Mother reports that the child has been complaining of toothache for the past two weeks and has been reluctant to eat. The mother has noticed dark spots on several of the child's back teeth.</w:t>
      </w:r>
    </w:p>
    <w:p>
      <w:pPr>
        <w:pStyle w:val="Heading2"/>
        <w:spacing w:after="120" w:before="240"/>
      </w:pPr>
      <w:r>
        <w:rPr>
          <w:rFonts w:ascii="Arial" w:cs="Arial" w:eastAsia="Arial" w:hAnsi="Arial"/>
          <w:b/>
          <w:bCs/>
          <w:sz w:val="24"/>
          <w:szCs w:val="24"/>
        </w:rPr>
        <w:t xml:space="preserve">Clinical Findings (provided to student as written case summary)</w:t>
      </w:r>
    </w:p>
    <w:p>
      <w:pPr>
        <w:pStyle w:val="ListParagraph"/>
        <w:numPr>
          <w:ilvl w:val="0"/>
          <w:numId w:val="2"/>
        </w:numPr>
        <w:spacing w:after="40" w:before="40"/>
      </w:pPr>
      <w:r>
        <w:rPr>
          <w:rFonts w:ascii="Arial" w:cs="Arial" w:eastAsia="Arial" w:hAnsi="Arial"/>
          <w:sz w:val="20"/>
          <w:szCs w:val="20"/>
        </w:rPr>
        <w:t xml:space="preserve">Multiple carious lesions in the primary dentition, including cavitated lesions on the occlusal surfaces of both mandibular second primary molars.</w:t>
      </w:r>
    </w:p>
    <w:p>
      <w:pPr>
        <w:pStyle w:val="ListParagraph"/>
        <w:numPr>
          <w:ilvl w:val="0"/>
          <w:numId w:val="2"/>
        </w:numPr>
        <w:spacing w:after="40" w:before="40"/>
      </w:pPr>
      <w:r>
        <w:rPr>
          <w:rFonts w:ascii="Arial" w:cs="Arial" w:eastAsia="Arial" w:hAnsi="Arial"/>
          <w:sz w:val="20"/>
          <w:szCs w:val="20"/>
        </w:rPr>
        <w:t xml:space="preserve">Visible plaque accumulation on upper anterior teeth.</w:t>
      </w:r>
    </w:p>
    <w:p>
      <w:pPr>
        <w:pStyle w:val="ListParagraph"/>
        <w:numPr>
          <w:ilvl w:val="0"/>
          <w:numId w:val="2"/>
        </w:numPr>
        <w:spacing w:after="40" w:before="40"/>
      </w:pPr>
      <w:r>
        <w:rPr>
          <w:rFonts w:ascii="Arial" w:cs="Arial" w:eastAsia="Arial" w:hAnsi="Arial"/>
          <w:sz w:val="20"/>
          <w:szCs w:val="20"/>
        </w:rPr>
        <w:t xml:space="preserve">Dietary history: frequent sugar-containing snacks and sweetened drinks between meals, three to four times daily.</w:t>
      </w:r>
    </w:p>
    <w:p>
      <w:pPr>
        <w:pStyle w:val="ListParagraph"/>
        <w:numPr>
          <w:ilvl w:val="0"/>
          <w:numId w:val="2"/>
        </w:numPr>
        <w:spacing w:after="40" w:before="40"/>
      </w:pPr>
      <w:r>
        <w:rPr>
          <w:rFonts w:ascii="Arial" w:cs="Arial" w:eastAsia="Arial" w:hAnsi="Arial"/>
          <w:sz w:val="20"/>
          <w:szCs w:val="20"/>
        </w:rPr>
        <w:t xml:space="preserve">Oral hygiene: brushing once daily without parental supervision.</w:t>
      </w:r>
    </w:p>
    <w:p>
      <w:pPr>
        <w:pStyle w:val="ListParagraph"/>
        <w:numPr>
          <w:ilvl w:val="0"/>
          <w:numId w:val="2"/>
        </w:numPr>
        <w:spacing w:after="40" w:before="40"/>
      </w:pPr>
      <w:r>
        <w:rPr>
          <w:rFonts w:ascii="Arial" w:cs="Arial" w:eastAsia="Arial" w:hAnsi="Arial"/>
          <w:sz w:val="20"/>
          <w:szCs w:val="20"/>
        </w:rPr>
        <w:t xml:space="preserve">Fluoride exposure: non-fluoridated water supply; no fluoride supplementation.</w:t>
      </w:r>
    </w:p>
    <w:p>
      <w:pPr>
        <w:pStyle w:val="ListParagraph"/>
        <w:numPr>
          <w:ilvl w:val="0"/>
          <w:numId w:val="2"/>
        </w:numPr>
        <w:spacing w:after="40" w:before="40"/>
      </w:pPr>
      <w:r>
        <w:rPr>
          <w:rFonts w:ascii="Arial" w:cs="Arial" w:eastAsia="Arial" w:hAnsi="Arial"/>
          <w:sz w:val="20"/>
          <w:szCs w:val="20"/>
        </w:rPr>
        <w:t xml:space="preserve">Child behavior: reported by the parent as anxious at previous dental visits. On entry, the child is quiet, avoids eye contact, and sits close to the parent.</w:t>
      </w:r>
    </w:p>
    <w:p>
      <w:pPr>
        <w:pStyle w:val="ListParagraph"/>
        <w:numPr>
          <w:ilvl w:val="0"/>
          <w:numId w:val="2"/>
        </w:numPr>
        <w:spacing w:after="40" w:before="40"/>
      </w:pPr>
      <w:r>
        <w:rPr>
          <w:rFonts w:ascii="Arial" w:cs="Arial" w:eastAsia="Arial" w:hAnsi="Arial"/>
          <w:sz w:val="20"/>
          <w:szCs w:val="20"/>
        </w:rPr>
        <w:t xml:space="preserve">Medical history: no relevant systemic conditions; no known drug allergies.</w:t>
      </w:r>
    </w:p>
    <w:p>
      <w:pPr>
        <w:pStyle w:val="Heading2"/>
        <w:spacing w:after="120" w:before="240"/>
      </w:pPr>
      <w:r>
        <w:rPr>
          <w:rFonts w:ascii="Arial" w:cs="Arial" w:eastAsia="Arial" w:hAnsi="Arial"/>
          <w:b/>
          <w:bCs/>
          <w:sz w:val="24"/>
          <w:szCs w:val="24"/>
        </w:rPr>
        <w:t xml:space="preserve">Task for Student</w:t>
      </w:r>
    </w:p>
    <w:p>
      <w:pPr>
        <w:spacing w:after="80" w:before="60"/>
      </w:pPr>
      <w:r>
        <w:rPr>
          <w:rFonts w:ascii="Arial" w:cs="Arial" w:eastAsia="Arial" w:hAnsi="Arial"/>
          <w:i w:val="false"/>
          <w:iCs w:val="false"/>
          <w:sz w:val="20"/>
          <w:szCs w:val="20"/>
        </w:rPr>
        <w:t xml:space="preserve">Based on the information provided, the student is required to: (1) formulate a diagnostic assessment including caries risk stratification; (2) develop an evidence-informed, age-appropriate treatment plan incorporating preventive and minimally invasive approaches; (3) propose a behavior guidance strategy appropriate to the child's presentation; and (4) communicate findings and the treatment plan to the standardized parent actor in a structured five-minute interaction.</w:t>
      </w:r>
    </w:p>
    <w:p>
      <w:pPr>
        <w:spacing w:after="60" w:before="60"/>
      </w:pPr>
      <w:r>
        <w:t xml:space="preserve"/>
      </w:r>
    </w:p>
    <w:p>
      <w:pPr>
        <w:pStyle w:val="Heading1"/>
        <w:spacing w:after="180" w:before="360"/>
      </w:pPr>
      <w:r>
        <w:rPr>
          <w:rFonts w:ascii="Arial" w:cs="Arial" w:eastAsia="Arial" w:hAnsi="Arial"/>
          <w:b/>
          <w:bCs/>
          <w:sz w:val="28"/>
          <w:szCs w:val="28"/>
        </w:rPr>
        <w:t xml:space="preserve">3. Examiner Instructions</w:t>
      </w:r>
    </w:p>
    <w:p>
      <w:pPr>
        <w:pStyle w:val="ListParagraph"/>
        <w:numPr>
          <w:ilvl w:val="0"/>
          <w:numId w:val="2"/>
        </w:numPr>
        <w:spacing w:after="40" w:before="40"/>
      </w:pPr>
      <w:r>
        <w:rPr>
          <w:rFonts w:ascii="Arial" w:cs="Arial" w:eastAsia="Arial" w:hAnsi="Arial"/>
          <w:sz w:val="20"/>
          <w:szCs w:val="20"/>
        </w:rPr>
        <w:t xml:space="preserve">Review the scoring rubrics and case scenario prior to each examination session.</w:t>
      </w:r>
    </w:p>
    <w:p>
      <w:pPr>
        <w:pStyle w:val="ListParagraph"/>
        <w:numPr>
          <w:ilvl w:val="0"/>
          <w:numId w:val="2"/>
        </w:numPr>
        <w:spacing w:after="40" w:before="40"/>
      </w:pPr>
      <w:r>
        <w:rPr>
          <w:rFonts w:ascii="Arial" w:cs="Arial" w:eastAsia="Arial" w:hAnsi="Arial"/>
          <w:sz w:val="20"/>
          <w:szCs w:val="20"/>
        </w:rPr>
        <w:t xml:space="preserve">Score each student independently using the standardized rubrics provided. Do not confer with the co-assessor during scoring.</w:t>
      </w:r>
    </w:p>
    <w:p>
      <w:pPr>
        <w:pStyle w:val="ListParagraph"/>
        <w:numPr>
          <w:ilvl w:val="0"/>
          <w:numId w:val="2"/>
        </w:numPr>
        <w:spacing w:after="40" w:before="40"/>
      </w:pPr>
      <w:r>
        <w:rPr>
          <w:rFonts w:ascii="Arial" w:cs="Arial" w:eastAsia="Arial" w:hAnsi="Arial"/>
          <w:sz w:val="20"/>
          <w:szCs w:val="20"/>
        </w:rPr>
        <w:t xml:space="preserve">You have been blinded to the group allocation (Jigsaw or control) of each student. Do not attempt to identify group membership.</w:t>
      </w:r>
    </w:p>
    <w:p>
      <w:pPr>
        <w:pStyle w:val="ListParagraph"/>
        <w:numPr>
          <w:ilvl w:val="0"/>
          <w:numId w:val="2"/>
        </w:numPr>
        <w:spacing w:after="40" w:before="40"/>
      </w:pPr>
      <w:r>
        <w:rPr>
          <w:rFonts w:ascii="Arial" w:cs="Arial" w:eastAsia="Arial" w:hAnsi="Arial"/>
          <w:sz w:val="20"/>
          <w:szCs w:val="20"/>
        </w:rPr>
        <w:t xml:space="preserve">Score only what is observed or documented by the student. Do not infer unstated reasoning.</w:t>
      </w:r>
    </w:p>
    <w:p>
      <w:pPr>
        <w:pStyle w:val="ListParagraph"/>
        <w:numPr>
          <w:ilvl w:val="0"/>
          <w:numId w:val="2"/>
        </w:numPr>
        <w:spacing w:after="40" w:before="40"/>
      </w:pPr>
      <w:r>
        <w:rPr>
          <w:rFonts w:ascii="Arial" w:cs="Arial" w:eastAsia="Arial" w:hAnsi="Arial"/>
          <w:sz w:val="20"/>
          <w:szCs w:val="20"/>
        </w:rPr>
        <w:t xml:space="preserve">If a student's response falls between two descriptor levels, assign the lower score and note the reason briefly.</w:t>
      </w:r>
    </w:p>
    <w:p>
      <w:pPr>
        <w:pStyle w:val="ListParagraph"/>
        <w:numPr>
          <w:ilvl w:val="0"/>
          <w:numId w:val="2"/>
        </w:numPr>
        <w:spacing w:after="40" w:before="40"/>
      </w:pPr>
      <w:r>
        <w:rPr>
          <w:rFonts w:ascii="Arial" w:cs="Arial" w:eastAsia="Arial" w:hAnsi="Arial"/>
          <w:sz w:val="20"/>
          <w:szCs w:val="20"/>
        </w:rPr>
        <w:t xml:space="preserve">Complete all scoring fields before the next student begins.</w:t>
      </w:r>
    </w:p>
    <w:p>
      <w:pPr>
        <w:pStyle w:val="ListParagraph"/>
        <w:numPr>
          <w:ilvl w:val="0"/>
          <w:numId w:val="2"/>
        </w:numPr>
        <w:spacing w:after="40" w:before="40"/>
      </w:pPr>
      <w:r>
        <w:rPr>
          <w:rFonts w:ascii="Arial" w:cs="Arial" w:eastAsia="Arial" w:hAnsi="Arial"/>
          <w:sz w:val="20"/>
          <w:szCs w:val="20"/>
        </w:rPr>
        <w:t xml:space="preserve">Contact the examination coordinator if procedural queries arise.</w:t>
      </w:r>
    </w:p>
    <w:p>
      <w:pPr>
        <w:spacing w:after="60" w:before="60"/>
      </w:pPr>
      <w:r>
        <w:t xml:space="preserve"/>
      </w:r>
    </w:p>
    <w:p>
      <w:pPr>
        <w:pStyle w:val="Heading1"/>
        <w:spacing w:after="180" w:before="360"/>
      </w:pPr>
      <w:r>
        <w:rPr>
          <w:rFonts w:ascii="Arial" w:cs="Arial" w:eastAsia="Arial" w:hAnsi="Arial"/>
          <w:b/>
          <w:bCs/>
          <w:sz w:val="28"/>
          <w:szCs w:val="28"/>
        </w:rPr>
        <w:t xml:space="preserve">4. Student Instructions</w:t>
      </w:r>
    </w:p>
    <w:p>
      <w:pPr>
        <w:spacing w:after="80" w:before="60"/>
      </w:pPr>
      <w:r>
        <w:rPr>
          <w:rFonts w:ascii="Arial" w:cs="Arial" w:eastAsia="Arial" w:hAnsi="Arial"/>
          <w:i w:val="false"/>
          <w:iCs w:val="false"/>
          <w:sz w:val="20"/>
          <w:szCs w:val="20"/>
        </w:rPr>
        <w:t xml:space="preserve">You will be given a written case summary describing a five-year-old child presenting with dental caries and anxiety. You will have ten minutes to read the case and prepare your responses. You will then be assessed on your diagnostic formulation, clinical reasoning, and treatment planning through a written response and a five-minute simulated interaction with the child's parent (standardized actor). Speak clearly and use language that a parent without a dental background would understand.</w:t>
      </w:r>
    </w:p>
    <w:p>
      <w:pPr>
        <w:spacing w:after="60" w:before="60"/>
      </w:pPr>
      <w:r>
        <w:t xml:space="preserve"/>
      </w:r>
    </w:p>
    <w:p>
      <w:pPr>
        <w:pStyle w:val="Heading1"/>
        <w:spacing w:after="180" w:before="360"/>
      </w:pPr>
      <w:r>
        <w:rPr>
          <w:rFonts w:ascii="Arial" w:cs="Arial" w:eastAsia="Arial" w:hAnsi="Arial"/>
          <w:b/>
          <w:bCs/>
          <w:sz w:val="28"/>
          <w:szCs w:val="28"/>
        </w:rPr>
        <w:t xml:space="preserve">5. Diagnostic Accuracy Scoring Rubric</w:t>
      </w:r>
    </w:p>
    <w:p/>
    <w:p>
      <w:pPr>
        <w:spacing w:after="80" w:before="60"/>
      </w:pPr>
      <w:r>
        <w:rPr>
          <w:rFonts w:ascii="Arial" w:cs="Arial" w:eastAsia="Arial" w:hAnsi="Arial"/>
          <w:i w:val="false"/>
          <w:iCs w:val="false"/>
          <w:sz w:val="20"/>
          <w:szCs w:val="20"/>
        </w:rPr>
        <w:t xml:space="preserve">Domains: diagnostic formulation, risk assessment, and treatment planning. Each domain is scored on a three-point scale.</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360"/>
        <w:gridCol w:w="3600"/>
      </w:tblGrid>
      <w:tr>
        <w:trPr>
          <w:tblHeader/>
        </w:trPr>
        <w:tc>
          <w:tcPr>
            <w:tcW w:type="dxa" w:w="24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Domain</w:t>
            </w:r>
          </w:p>
        </w:tc>
        <w:tc>
          <w:tcPr>
            <w:tcW w:type="dxa" w:w="336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Scoring Criteria</w:t>
            </w:r>
          </w:p>
        </w:tc>
        <w:tc>
          <w:tcPr>
            <w:tcW w:type="dxa" w:w="36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Score Descriptors</w:t>
            </w:r>
          </w:p>
        </w:tc>
      </w:tr>
      <w:tr>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Diagnostic formulation</w:t>
            </w:r>
          </w:p>
        </w:tc>
        <w:tc>
          <w:tcPr>
            <w:tcW w:type="dxa" w:w="33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Correctly identifies the presenting dental problem(s) and relevant clinical features from case information</w:t>
            </w:r>
          </w:p>
        </w:tc>
        <w:tc>
          <w:tcPr>
            <w:tcW w:type="dxa" w:w="36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0 = absent; 1 = partial; 2 = complete with supporting rationale</w:t>
            </w:r>
          </w:p>
        </w:tc>
      </w:tr>
      <w:tr>
        <w:tc>
          <w:tcPr>
            <w:tcW w:type="dxa" w:w="24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Risk assessment</w:t>
            </w:r>
          </w:p>
        </w:tc>
        <w:tc>
          <w:tcPr>
            <w:tcW w:type="dxa" w:w="33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Identifies and stratifies caries risk factors accurately using case data</w:t>
            </w:r>
          </w:p>
        </w:tc>
        <w:tc>
          <w:tcPr>
            <w:tcW w:type="dxa" w:w="36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0 = absent; 1 = partial; 2 = complete with appropriate risk category assigned</w:t>
            </w:r>
          </w:p>
        </w:tc>
      </w:tr>
      <w:tr>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Treatment planning</w:t>
            </w:r>
          </w:p>
        </w:tc>
        <w:tc>
          <w:tcPr>
            <w:tcW w:type="dxa" w:w="33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Proposes a treatment plan that is evidence-informed, age-appropriate, and responsive to identified risk level</w:t>
            </w:r>
          </w:p>
        </w:tc>
        <w:tc>
          <w:tcPr>
            <w:tcW w:type="dxa" w:w="36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0 = absent; 1 = partial; 2 = complete with prioritized, justified interventions</w:t>
            </w:r>
          </w:p>
        </w:tc>
      </w:tr>
    </w:tbl>
    <w:p>
      <w:pPr>
        <w:spacing w:after="60" w:before="60"/>
      </w:pPr>
      <w:r>
        <w:t xml:space="preserve"/>
      </w:r>
    </w:p>
    <w:p>
      <w:pPr>
        <w:pStyle w:val="Heading1"/>
        <w:spacing w:after="180" w:before="360"/>
      </w:pPr>
      <w:r>
        <w:rPr>
          <w:rFonts w:ascii="Arial" w:cs="Arial" w:eastAsia="Arial" w:hAnsi="Arial"/>
          <w:b/>
          <w:bCs/>
          <w:sz w:val="28"/>
          <w:szCs w:val="28"/>
        </w:rPr>
        <w:t xml:space="preserve">6. Clinical Reasoning Rubric (Total Score Range: 0–40)</w:t>
      </w:r>
    </w:p>
    <w:p>
      <w:pPr>
        <w:spacing w:after="80" w:before="60"/>
      </w:pPr>
      <w:r>
        <w:rPr>
          <w:rFonts w:ascii="Arial" w:cs="Arial" w:eastAsia="Arial" w:hAnsi="Arial"/>
          <w:i w:val="false"/>
          <w:iCs w:val="false"/>
          <w:sz w:val="20"/>
          <w:szCs w:val="20"/>
        </w:rPr>
        <w:t xml:space="preserve">Domains: data interpretation, hypothesis generation, and justification of clinical decisions. Score descriptors are provided for each domain. Total score is the sum of all domain scores.</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3360"/>
        <w:gridCol w:w="3600"/>
      </w:tblGrid>
      <w:tr>
        <w:trPr>
          <w:tblHeader/>
        </w:trPr>
        <w:tc>
          <w:tcPr>
            <w:tcW w:type="dxa" w:w="24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Domain</w:t>
            </w:r>
          </w:p>
        </w:tc>
        <w:tc>
          <w:tcPr>
            <w:tcW w:type="dxa" w:w="336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Description</w:t>
            </w:r>
          </w:p>
        </w:tc>
        <w:tc>
          <w:tcPr>
            <w:tcW w:type="dxa" w:w="36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Score Descriptors (range per domain)</w:t>
            </w:r>
          </w:p>
        </w:tc>
      </w:tr>
      <w:tr>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Data interpretation</w:t>
            </w:r>
          </w:p>
        </w:tc>
        <w:tc>
          <w:tcPr>
            <w:tcW w:type="dxa" w:w="33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Student accurately identifies and interprets relevant clinical findings from available case information</w:t>
            </w:r>
          </w:p>
        </w:tc>
        <w:tc>
          <w:tcPr>
            <w:tcW w:type="dxa" w:w="36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0–4: no interpretation; 5–8: partial; 9–12: thorough; 13–14: comprehensive with explicit reasoning</w:t>
            </w:r>
          </w:p>
        </w:tc>
      </w:tr>
      <w:tr>
        <w:tc>
          <w:tcPr>
            <w:tcW w:type="dxa" w:w="24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Hypothesis generation</w:t>
            </w:r>
          </w:p>
        </w:tc>
        <w:tc>
          <w:tcPr>
            <w:tcW w:type="dxa" w:w="33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Student formulates plausible clinical hypotheses consistent with the diagnostic data</w:t>
            </w:r>
          </w:p>
        </w:tc>
        <w:tc>
          <w:tcPr>
            <w:tcW w:type="dxa" w:w="36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0–4: no hypothesis; 5–8: partial; 9–12: logical; 13–14: multiple well-differentiated hypotheses</w:t>
            </w:r>
          </w:p>
        </w:tc>
      </w:tr>
      <w:tr>
        <w:tc>
          <w:tcPr>
            <w:tcW w:type="dxa" w:w="24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Justification of clinical decisions</w:t>
            </w:r>
          </w:p>
        </w:tc>
        <w:tc>
          <w:tcPr>
            <w:tcW w:type="dxa" w:w="33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Student provides clear, evidence-referenced justification for proposed clinical decisions</w:t>
            </w:r>
          </w:p>
        </w:tc>
        <w:tc>
          <w:tcPr>
            <w:tcW w:type="dxa" w:w="36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0–3: no justification; 4–7: partial; 8–10: adequate; 11–12: well-reasoned with consideration of alternatives</w:t>
            </w:r>
          </w:p>
        </w:tc>
      </w:tr>
    </w:tbl>
    <w:p>
      <w:pPr>
        <w:spacing w:after="60" w:before="60"/>
      </w:pPr>
      <w:r>
        <w:t xml:space="preserve"/>
      </w:r>
    </w:p>
    <w:p>
      <w:pPr>
        <w:pStyle w:val="Heading1"/>
        <w:spacing w:after="180" w:before="360"/>
      </w:pPr>
      <w:r>
        <w:rPr>
          <w:rFonts w:ascii="Arial" w:cs="Arial" w:eastAsia="Arial" w:hAnsi="Arial"/>
          <w:b/>
          <w:bCs/>
          <w:sz w:val="28"/>
          <w:szCs w:val="28"/>
        </w:rPr>
        <w:t xml:space="preserve">7. Parent Communication Checklist</w:t>
      </w:r>
    </w:p>
    <w:p>
      <w:pPr>
        <w:spacing w:after="80" w:before="60"/>
      </w:pPr>
      <w:r>
        <w:rPr>
          <w:rFonts w:ascii="Arial" w:cs="Arial" w:eastAsia="Arial" w:hAnsi="Arial"/>
          <w:i w:val="false"/>
          <w:iCs w:val="false"/>
          <w:sz w:val="20"/>
          <w:szCs w:val="20"/>
        </w:rPr>
        <w:t xml:space="preserve">Students are assessed during the standardized parent interaction on three domains using a structured checklist. Each domain is scored on a scale from 0 to 5 (0 = not demonstrated; 1–2 = partially demonstrated; 3–4 = mostly demonstrated; 5 = fully demonstrated with appropriate depth).</w:t>
      </w:r>
    </w:p>
    <w:p>
      <w:pPr>
        <w:spacing w:after="6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rPr>
          <w:tblHeader/>
        </w:trPr>
        <w:tc>
          <w:tcPr>
            <w:tcW w:type="dxa" w:w="300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Domain</w:t>
            </w:r>
          </w:p>
        </w:tc>
        <w:tc>
          <w:tcPr>
            <w:tcW w:type="dxa" w:w="6360"/>
            <w:tcBorders>
              <w:top w:val="single" w:color="AAAAAA" w:sz="4"/>
              <w:left w:val="single" w:color="AAAAAA" w:sz="4"/>
              <w:bottom w:val="single" w:color="AAAAAA" w:sz="4"/>
              <w:right w:val="single" w:color="AAAAAA" w:sz="4"/>
            </w:tcBorders>
            <w:shd w:fill="D9D9D9" w:val="clear"/>
            <w:tcMar>
              <w:top w:type="dxa" w:w="80"/>
              <w:left w:type="dxa" w:w="120"/>
              <w:bottom w:type="dxa" w:w="80"/>
              <w:right w:type="dxa" w:w="120"/>
            </w:tcMar>
          </w:tcPr>
          <w:p>
            <w:pPr>
              <w:jc w:val="left"/>
            </w:pPr>
            <w:r>
              <w:rPr>
                <w:rFonts w:ascii="Arial" w:cs="Arial" w:eastAsia="Arial" w:hAnsi="Arial"/>
                <w:b/>
                <w:bCs/>
                <w:sz w:val="18"/>
                <w:szCs w:val="18"/>
              </w:rPr>
              <w:t xml:space="preserve">Description</w:t>
            </w:r>
          </w:p>
        </w:tc>
      </w:tr>
      <w:tr>
        <w:tc>
          <w:tcPr>
            <w:tcW w:type="dxa" w:w="30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Clarity of explanation</w:t>
            </w:r>
          </w:p>
        </w:tc>
        <w:tc>
          <w:tcPr>
            <w:tcW w:type="dxa" w:w="63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Information is communicated in plain, accessible language appropriate for a parent audience; technical terms are explained</w:t>
            </w:r>
          </w:p>
        </w:tc>
      </w:tr>
      <w:tr>
        <w:tc>
          <w:tcPr>
            <w:tcW w:type="dxa" w:w="300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Empathy</w:t>
            </w:r>
          </w:p>
        </w:tc>
        <w:tc>
          <w:tcPr>
            <w:tcW w:type="dxa" w:w="6360"/>
            <w:tcBorders>
              <w:top w:val="single" w:color="AAAAAA" w:sz="4"/>
              <w:left w:val="single" w:color="AAAAAA" w:sz="4"/>
              <w:bottom w:val="single" w:color="AAAAAA" w:sz="4"/>
              <w:right w:val="single" w:color="AAAAAA" w:sz="4"/>
            </w:tcBorders>
            <w:shd w:fill="F5F9FF" w:val="clear"/>
            <w:tcMar>
              <w:top w:type="dxa" w:w="80"/>
              <w:left w:type="dxa" w:w="120"/>
              <w:bottom w:type="dxa" w:w="80"/>
              <w:right w:type="dxa" w:w="120"/>
            </w:tcMar>
          </w:tcPr>
          <w:p>
            <w:pPr>
              <w:jc w:val="left"/>
            </w:pPr>
            <w:r>
              <w:rPr>
                <w:rFonts w:ascii="Arial" w:cs="Arial" w:eastAsia="Arial" w:hAnsi="Arial"/>
                <w:sz w:val="18"/>
                <w:szCs w:val="18"/>
              </w:rPr>
              <w:t xml:space="preserve">Student acknowledges parental concerns, responds sensitively, and demonstrates a patient-centered approach</w:t>
            </w:r>
          </w:p>
        </w:tc>
      </w:tr>
      <w:tr>
        <w:tc>
          <w:tcPr>
            <w:tcW w:type="dxa" w:w="300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Shared decision-making</w:t>
            </w:r>
          </w:p>
        </w:tc>
        <w:tc>
          <w:tcPr>
            <w:tcW w:type="dxa" w:w="6360"/>
            <w:tcBorders>
              <w:top w:val="single" w:color="AAAAAA" w:sz="4"/>
              <w:left w:val="single" w:color="AAAAAA" w:sz="4"/>
              <w:bottom w:val="single" w:color="AAAAAA" w:sz="4"/>
              <w:right w:val="single" w:color="AAAAAA" w:sz="4"/>
            </w:tcBorders>
            <w:shd w:fill="FFFFFF" w:val="clear"/>
            <w:tcMar>
              <w:top w:type="dxa" w:w="80"/>
              <w:left w:type="dxa" w:w="120"/>
              <w:bottom w:type="dxa" w:w="80"/>
              <w:right w:type="dxa" w:w="120"/>
            </w:tcMar>
          </w:tcPr>
          <w:p>
            <w:pPr>
              <w:jc w:val="left"/>
            </w:pPr>
            <w:r>
              <w:rPr>
                <w:rFonts w:ascii="Arial" w:cs="Arial" w:eastAsia="Arial" w:hAnsi="Arial"/>
                <w:sz w:val="18"/>
                <w:szCs w:val="18"/>
              </w:rPr>
              <w:t xml:space="preserve">Student involves the parent in the discussion of treatment options, elicits preferences, and supports informed decision-making</w:t>
            </w:r>
          </w:p>
        </w:tc>
      </w:tr>
    </w:tbl>
    <w:p>
      <w:pPr>
        <w:spacing w:after="60" w:before="60"/>
      </w:pPr>
      <w:r>
        <w:t xml:space="preserve"/>
      </w:r>
    </w:p>
    <w:p>
      <w:r>
        <w:t>Reporting note: For analysis and reporting in the main manuscript, diagnostic accuracy raw scores were recorded on a 0–6 scale, derived from the average of two independent examiners' ratings, and converted to a 100-point percentage scale.</w:t>
      </w:r>
    </w:p>
    <w:p>
      <w:r>
        <w:t>Reporting note: Each parent communication domain was initially scored on a 0–5 rubric. For analysis and reporting in the main manuscript, each domain score was multiplied by 3, producing a 0–15 scale per domain and a total communication score range of 0–45.</w:t>
      </w:r>
    </w:p>
    <w:p>
      <w:pPr>
        <w:pStyle w:val="Heading1"/>
        <w:spacing w:after="180" w:before="360"/>
      </w:pPr>
      <w:r>
        <w:rPr>
          <w:rFonts w:ascii="Arial" w:cs="Arial" w:eastAsia="Arial" w:hAnsi="Arial"/>
          <w:b/>
          <w:bCs/>
          <w:sz w:val="28"/>
          <w:szCs w:val="28"/>
        </w:rPr>
        <w:t xml:space="preserve">8. Examiner Calibration and Blinding Procedures</w:t>
      </w:r>
    </w:p>
    <w:p>
      <w:pPr>
        <w:spacing w:after="80" w:before="60"/>
      </w:pPr>
      <w:r>
        <w:rPr>
          <w:rFonts w:ascii="Arial" w:cs="Arial" w:eastAsia="Arial" w:hAnsi="Arial"/>
          <w:i w:val="false"/>
          <w:iCs w:val="false"/>
          <w:sz w:val="20"/>
          <w:szCs w:val="20"/>
        </w:rPr>
        <w:t xml:space="preserve">Prior to the study, a pilot reliability exercise was conducted in which examiners independently scored ten OSCE stations on two occasions separated by one week. Intraclass correlation coefficients (ICC) were calculated to assess interrater and intrarater reliability. Results indicated acceptable reliability for both diagnostic accuracy scoring (ICC = 0.82) and communication performance scoring (ICC = 0.79).</w:t>
      </w:r>
    </w:p>
    <w:p>
      <w:pPr>
        <w:spacing w:after="60" w:before="60"/>
      </w:pPr>
      <w:r>
        <w:t xml:space="preserve"/>
      </w:r>
    </w:p>
    <w:p>
      <w:pPr>
        <w:spacing w:after="80" w:before="60"/>
      </w:pPr>
      <w:r>
        <w:rPr>
          <w:rFonts w:ascii="Arial" w:cs="Arial" w:eastAsia="Arial" w:hAnsi="Arial"/>
          <w:i w:val="false"/>
          <w:iCs w:val="false"/>
          <w:sz w:val="20"/>
          <w:szCs w:val="20"/>
        </w:rPr>
        <w:t xml:space="preserve">Assessors were blinded to group allocation throughout the assessment period. To achieve this, all student answer sheets were anonymized and assigned coded identifiers by an independent administrative staff member before distribution to assessors. Assessors did not have access to any information linking coded identifiers to group membership. Standardized scoring rubrics were used for all assessments to minimize subjectivity.</w:t>
      </w:r>
    </w:p>
    <w:p>
      <w:pPr>
        <w:spacing w:after="60" w:before="60"/>
      </w:pPr>
      <w:r>
        <w:t xml:space="preserve"/>
      </w:r>
    </w:p>
    <w:p>
      <w:pPr>
        <w:spacing w:after="80" w:before="60"/>
      </w:pPr>
      <w:r>
        <w:rPr>
          <w:rFonts w:ascii="Arial" w:cs="Arial" w:eastAsia="Arial" w:hAnsi="Arial"/>
          <w:i/>
          <w:iCs/>
          <w:sz w:val="20"/>
          <w:szCs w:val="20"/>
        </w:rPr>
        <w:t>Note: This document describes the assessment instruments and scoring procedures only. Group-level outcome results are reported in the main manuscript.</w:t>
      </w:r>
    </w:p>
    <w:sectPr>
      <w:pgSz w:w="12240" w:h="15840"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Arial" w:cs="Arial" w:eastAsia="Arial" w:hAnsi="Arial"/>
      <w:b/>
      <w:bCs/>
      <w:color w:val="1F3864"/>
      <w:sz w:val="28"/>
      <w:szCs w:val="28"/>
    </w:rPr>
  </w:style>
  <w:style w:type="paragraph" w:styleId="Heading2">
    <w:name w:val="Heading 2"/>
    <w:basedOn w:val="Normal"/>
    <w:next w:val="Normal"/>
    <w:qFormat/>
    <w:pPr>
      <w:spacing w:after="120" w:before="240"/>
      <w:outlineLvl w:val="1"/>
    </w:pPr>
    <w:rPr>
      <w:rFonts w:ascii="Arial" w:cs="Arial" w:eastAsia="Arial" w:hAnsi="Arial"/>
      <w:b/>
      <w:bCs/>
      <w:color w:val="2E75B6"/>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2026-05-28T14:23:36.383Z</dcterms:created>
  <dcterms:modified xsi:type="dcterms:W3CDTF">2026-05-28T14:23:36.383Z</dcterms:modified>
</cp:coreProperties>
</file>

<file path=docProps/custom.xml><?xml version="1.0" encoding="utf-8"?>
<Properties xmlns="http://schemas.openxmlformats.org/officeDocument/2006/custom-properties" xmlns:vt="http://schemas.openxmlformats.org/officeDocument/2006/docPropsVTypes"/>
</file>