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4472C4"/>
          <w:sz w:val="22"/>
          <w:szCs w:val="22"/>
        </w:rPr>
        <w:t xml:space="preserve">Supplementary File 4</w:t>
      </w:r>
    </w:p>
    <w:p>
      <w:pPr>
        <w:spacing w:after="80" w:before="80"/>
      </w:pPr>
      <w:r>
        <w:rPr>
          <w:rFonts w:ascii="Arial" w:cs="Arial" w:eastAsia="Arial" w:hAnsi="Arial"/>
          <w:b/>
          <w:bCs/>
          <w:sz w:val="28"/>
          <w:szCs w:val="28"/>
        </w:rPr>
        <w:t xml:space="preserve">CONSORT Checklist for the Randomized Educational Trial</w:t>
      </w:r>
    </w:p>
    <w:p>
      <w:pPr>
        <w:spacing w:after="200" w:before="0"/>
      </w:pPr>
      <w:r>
        <w:rPr>
          <w:rFonts w:ascii="Arial" w:cs="Arial" w:eastAsia="Arial" w:hAnsi="Arial"/>
          <w:i/>
          <w:iCs/>
          <w:sz w:val="20"/>
          <w:szCs w:val="20"/>
        </w:rPr>
        <w:t>Peer Teaching Supports Clinical Reasoning in Pediatric Dentistry Education</w:t>
      </w:r>
    </w:p>
    <w:p>
      <w:pPr>
        <w:pBdr>
          <w:bottom w:val="single" w:color="4472C4" w:sz="6" w:space="1"/>
        </w:pBdr>
        <w:spacing w:after="200" w:before="0"/>
      </w:pPr>
      <w:r>
        <w:t xml:space="preserve"/>
      </w:r>
    </w:p>
    <w:p>
      <w:pPr>
        <w:pStyle w:val="Heading1"/>
        <w:spacing w:after="180" w:before="360"/>
      </w:pPr>
      <w:r>
        <w:rPr>
          <w:rFonts w:ascii="Arial" w:cs="Arial" w:eastAsia="Arial" w:hAnsi="Arial"/>
          <w:b/>
          <w:bCs/>
          <w:sz w:val="28"/>
          <w:szCs w:val="28"/>
        </w:rPr>
        <w:t xml:space="preserve">Overview</w:t>
      </w:r>
    </w:p>
    <w:p>
      <w:pPr>
        <w:spacing w:after="80" w:before="60"/>
      </w:pPr>
      <w:r>
        <w:rPr>
          <w:rFonts w:ascii="Arial" w:cs="Arial" w:eastAsia="Arial" w:hAnsi="Arial"/>
          <w:i w:val="false"/>
          <w:iCs w:val="false"/>
          <w:sz w:val="20"/>
          <w:szCs w:val="20"/>
        </w:rPr>
        <w:t xml:space="preserve">This checklist was prepared in accordance with the CONSORT 2010 statement, adapted for educational randomized controlled trials as described in the manuscript. The table below documents where each CONSORT item is addressed in the manuscript and summarizes the reported information.</w:t>
      </w:r>
    </w:p>
    <w:p>
      <w:pPr>
        <w:spacing w:after="60" w:before="60"/>
      </w:pPr>
      <w:r>
        <w:t xml:space="preserve"/>
      </w:r>
    </w:p>
    <w:p>
      <w:pPr>
        <w:pStyle w:val="Heading2"/>
        <w:spacing w:after="120" w:before="240"/>
      </w:pPr>
      <w:r>
        <w:rPr>
          <w:rFonts w:ascii="Arial" w:cs="Arial" w:eastAsia="Arial" w:hAnsi="Arial"/>
          <w:b/>
          <w:bCs/>
          <w:sz w:val="24"/>
          <w:szCs w:val="24"/>
        </w:rPr>
        <w:t xml:space="preserve">Trial Summary</w:t>
      </w:r>
    </w:p>
    <w:p>
      <w:pPr>
        <w:pStyle w:val="ListParagraph"/>
        <w:numPr>
          <w:ilvl w:val="0"/>
          <w:numId w:val="2"/>
        </w:numPr>
        <w:spacing w:after="40" w:before="40"/>
      </w:pPr>
      <w:r>
        <w:rPr>
          <w:rFonts w:ascii="Arial" w:cs="Arial" w:eastAsia="Arial" w:hAnsi="Arial"/>
          <w:sz w:val="20"/>
          <w:szCs w:val="20"/>
        </w:rPr>
        <w:t xml:space="preserve">Total randomized: 100 (50 per group)</w:t>
      </w:r>
    </w:p>
    <w:p>
      <w:pPr>
        <w:pStyle w:val="ListParagraph"/>
        <w:numPr>
          <w:ilvl w:val="0"/>
          <w:numId w:val="2"/>
        </w:numPr>
        <w:spacing w:after="40" w:before="40"/>
      </w:pPr>
      <w:r>
        <w:rPr>
          <w:rFonts w:ascii="Arial" w:cs="Arial" w:eastAsia="Arial" w:hAnsi="Arial"/>
          <w:sz w:val="20"/>
          <w:szCs w:val="20"/>
        </w:rPr>
        <w:t xml:space="preserve">Excluded from analysis: 1 per group (incomplete post-intervention assessment)</w:t>
      </w:r>
    </w:p>
    <w:p>
      <w:pPr>
        <w:pStyle w:val="ListParagraph"/>
        <w:numPr>
          <w:ilvl w:val="0"/>
          <w:numId w:val="2"/>
        </w:numPr>
        <w:spacing w:after="40" w:before="40"/>
      </w:pPr>
      <w:r>
        <w:rPr>
          <w:rFonts w:ascii="Arial" w:cs="Arial" w:eastAsia="Arial" w:hAnsi="Arial"/>
          <w:sz w:val="20"/>
          <w:szCs w:val="20"/>
        </w:rPr>
        <w:t xml:space="preserve">Final analyzed sample: 49 per group (98 total)</w:t>
      </w:r>
    </w:p>
    <w:p>
      <w:pPr>
        <w:pStyle w:val="ListParagraph"/>
        <w:numPr>
          <w:ilvl w:val="0"/>
          <w:numId w:val="2"/>
        </w:numPr>
        <w:spacing w:after="40" w:before="40"/>
      </w:pPr>
      <w:r>
        <w:rPr>
          <w:rFonts w:ascii="Arial" w:cs="Arial" w:eastAsia="Arial" w:hAnsi="Arial"/>
          <w:sz w:val="20"/>
          <w:szCs w:val="20"/>
        </w:rPr>
        <w:t xml:space="preserve">Ethics approval: IRB/COD/FAC/71/MAR-2024, Institutional Review Board, College of Dentistry, Gulf Medical University, dated 23 March 2024</w:t>
      </w:r>
    </w:p>
    <w:p>
      <w:pPr>
        <w:pStyle w:val="ListParagraph"/>
        <w:numPr>
          <w:ilvl w:val="0"/>
          <w:numId w:val="2"/>
        </w:numPr>
        <w:spacing w:after="40" w:before="40"/>
      </w:pPr>
      <w:r>
        <w:rPr>
          <w:rFonts w:ascii="Arial" w:cs="Arial" w:eastAsia="Arial" w:hAnsi="Arial"/>
          <w:sz w:val="20"/>
          <w:szCs w:val="20"/>
        </w:rPr>
        <w:t xml:space="preserve">Informed consent: Written informed consent obtained from all participants</w:t>
      </w:r>
    </w:p>
    <w:p>
      <w:pPr>
        <w:pStyle w:val="ListParagraph"/>
        <w:numPr>
          <w:ilvl w:val="0"/>
          <w:numId w:val="2"/>
        </w:numPr>
        <w:spacing w:after="40" w:before="40"/>
      </w:pPr>
      <w:r>
        <w:rPr>
          <w:rFonts w:ascii="Arial" w:cs="Arial" w:eastAsia="Arial" w:hAnsi="Arial"/>
          <w:sz w:val="20"/>
          <w:szCs w:val="20"/>
        </w:rPr>
        <w:t xml:space="preserve">Funding: None</w:t>
      </w:r>
    </w:p>
    <w:p>
      <w:pPr>
        <w:pStyle w:val="ListParagraph"/>
        <w:numPr>
          <w:ilvl w:val="0"/>
          <w:numId w:val="2"/>
        </w:numPr>
        <w:spacing w:after="40" w:before="40"/>
      </w:pPr>
      <w:r>
        <w:rPr>
          <w:rFonts w:ascii="Arial" w:cs="Arial" w:eastAsia="Arial" w:hAnsi="Arial"/>
          <w:sz w:val="20"/>
          <w:szCs w:val="20"/>
        </w:rPr>
        <w:t xml:space="preserve">Trial registration: Not reported in manuscript</w:t>
      </w:r>
    </w:p>
    <w:p>
      <w:pPr>
        <w:spacing w:after="60" w:before="60"/>
      </w:pPr>
      <w:r>
        <w:t xml:space="preserve"/>
      </w:r>
    </w:p>
    <w:p>
      <w:pPr>
        <w:pStyle w:val="Heading1"/>
        <w:spacing w:after="180" w:before="360"/>
      </w:pPr>
      <w:r>
        <w:rPr>
          <w:rFonts w:ascii="Arial" w:cs="Arial" w:eastAsia="Arial" w:hAnsi="Arial"/>
          <w:b/>
          <w:bCs/>
          <w:sz w:val="28"/>
          <w:szCs w:val="28"/>
        </w:rPr>
        <w:t xml:space="preserve">CONSORT Checklist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1800"/>
        <w:gridCol w:w="2960"/>
      </w:tblGrid>
      <w:tr>
        <w:trPr>
          <w:tblHeader/>
        </w:trPr>
        <w:tc>
          <w:tcPr>
            <w:tcW w:type="dxa" w:w="18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CONSORT Item</w:t>
            </w:r>
          </w:p>
        </w:tc>
        <w:tc>
          <w:tcPr>
            <w:tcW w:type="dxa" w:w="28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Description</w:t>
            </w:r>
          </w:p>
        </w:tc>
        <w:tc>
          <w:tcPr>
            <w:tcW w:type="dxa" w:w="18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Location in Manuscript</w:t>
            </w:r>
          </w:p>
        </w:tc>
        <w:tc>
          <w:tcPr>
            <w:tcW w:type="dxa" w:w="296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Reported Information</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Title and abstract</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Identification as a randomized trial in the title; structured abstract including background, methods, results, and conclusions</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Title; Abstract</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Reported. Revised title: “Peer Teaching Supports Clinical Reasoning in Pediatric Dentistry Education”. Structured abstract provided with all required sections.</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Background and rationale</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Scientific background and explanation of the rationale for the trial</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Introduction</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Background describes limitations of lecture-based teaching in pediatric dentistry and the rationale for evaluating a Jigsaw-based cooperative learning approach.</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Objectives</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Specific objectives or hypotheses</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Introduction; Section 2.1</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The study aimed to evaluate the effectiveness of a Jigsaw-based cooperative learning intervention compared with traditional lecture-based instruction on clinical reasoning, diagnostic accuracy, communication, and knowledge retention.</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Trial design</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Description of trial design including allocation ratio</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2.1</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Parallel-group randomized controlled study; 1:1 allocation ratio.</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Participants</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Eligibility criteria and settings</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2.2; Section 2.1</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Fourth-year BDS students enrolled in the pediatric dentistry course; minimum 80% attendance; no prior exposure to the Jigsaw technique. Setting: Gulf-region dental school.</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Intervention</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Precise details of the Jigsaw intervention</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2.6; Supplementary File 1</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Four structured 60-minute Jigsaw sessions covering five pediatric dentistry domains. Full details provided in Supplementary File 1.</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Comparator</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Description of the control condition</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2.7</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Traditional lecture-based, educator-centered instruction with whole-class discussion; equivalent instructional time and learning materials.</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Outcomes</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Primary and secondary outcome measures with assessment methods</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2.8</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Primary outcome: OSCE-based clinical reasoning (analytic rubric, 0–40). Secondary outcomes: diagnostic accuracy (OSCE), communication performance (standardized parent actor), knowledge retention (MCQ at three time points), learner perception (Likert questionnaire and open-ended responses).</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Sample size</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How sample size was determined</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2.3</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Reported. G*Power software; anticipated effect size of approximately Cohen’s d = 0.60; two-sided α = 0.05; power = 0.80. Minimum 45 per group required; 100 enrolled to account for attrition.</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Randomization: sequence generation</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Method used to generate the allocation sequence</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2.4</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Computer-generated block randomization sequence. Block sizes concealed.</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Randomization: allocation concealment</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Mechanism used to implement the allocation sequence</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2.4</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Sequentially numbered, opaque, sealed envelopes prepared by an independent administrative staff member not involved in the study.</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Blinding</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Who was blinded and how</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2.5; Section 2.9</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Outcome assessors were blinded to group allocation. Participant blinding was not possible due to the nature of the educational intervention (acknowledged as limitation). Answer sheets were anonymized and coded prior to scoring.</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Statistical methods</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Methods for primary and secondary outcomes; subgroup analyses</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2.10</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Reported. Independent-samples t-tests for between-group comparisons; descriptive statistics (means, SDs, frequencies). Thematic analysis for open-ended responses. Significance level: p &lt; 0.05. Confidence intervals are not separately tabulated for every outcome.</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Participant flow</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Number screened, allocated, and analyzed in each group with reasons for exclusions</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3.1; Figure 1</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100 students assessed and randomized; 50 allocated to Jigsaw group; 50 allocated to control group. One participant excluded from each group due to incomplete post-intervention assessments. Final analytic sample: 49 per group (98 total).</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Recruitment</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Dates defining the periods of recruitment and follow-up</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2.1</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Study conducted within the undergraduate pediatric dentistry course. Follow-up assessment conducted four weeks after the intervention.</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Baseline data</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Demographic and clinical characteristics at baseline</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3.2; Table 1</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Age, sex, pre-intervention knowledge score, and prior pediatric clinical exposure. No significant between-group differences at baseline.</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Numbers analyzed</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Number analyzed in each group and whether analysis was per protocol or intention to treat</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3.1</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49 analyzed per group. Analysis based on students who completed all post-intervention assessments (per-protocol analysis).</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Outcomes and estimation</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Results for each outcome including effect sizes and confidence intervals</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Sections 3.3.1–3.3.5; Tables 2–6</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Reported. Group means, SDs, and p-values from independent-samples t-tests are reported for the primary and secondary outcomes. Cohen’s d is reported where included in the main manuscript; confidence intervals are not separately tabulated for every outcome.</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Harms or unintended effects</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Any adverse effects or unintended consequences</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Not reported in manuscript</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No adverse effects or unintended consequences were identified or reported.</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Limitations</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Limitations addressing sources of potential bias, imprecision, and generalizability</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4 (Discussion)</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Single-centre study; participant blinding not possible; simulated assessment context; potential facilitator variability; short follow-up period.</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Generalizability</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Generalizability (external validity) of the findings</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4 (Discussion)</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Authors note contextual factors (class size, institutional culture, facilitator expertise) that may influence transferability.</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Interpretation</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Interpretation consistent with results, balancing benefits and harms</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4 (Discussion); Section 5 (Conclusion)</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Authors interpret findings as evidence of effectiveness within a defined educational context; caution against broad generalization.</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Ethics approval</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Details of ethics committee approval</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Section 2.1; End matter</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Institutional Review Board, College of Dentistry, Gulf Medical University. Approval No. IRB/COD/FAC/71/MAR-2024; dated 23 March 2024.</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Informed consent</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How informed consent was obtained</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Section 2.1</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Written informed consent obtained from all participants prior to enrollment. Participation voluntary; no impact on academic evaluation.</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Trial registration</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Registration number and registry name</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Not reported in manuscript</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Not reported in manuscript.</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Funding</w:t>
            </w:r>
          </w:p>
        </w:tc>
        <w:tc>
          <w:tcPr>
            <w:tcW w:type="dxa" w:w="2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Sources of funding and other support</w:t>
            </w:r>
          </w:p>
        </w:tc>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End matter (Funding)</w:t>
            </w:r>
          </w:p>
        </w:tc>
        <w:tc>
          <w:tcPr>
            <w:tcW w:type="dxa" w:w="29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Reported. None declared.</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Data availability</w:t>
            </w:r>
          </w:p>
        </w:tc>
        <w:tc>
          <w:tcPr>
            <w:tcW w:type="dxa" w:w="2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Statement regarding availability of study data</w:t>
            </w:r>
          </w:p>
        </w:tc>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End matter (Data availability)</w:t>
            </w:r>
          </w:p>
        </w:tc>
        <w:tc>
          <w:tcPr>
            <w:tcW w:type="dxa" w:w="29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Reported. Data not publicly available due to participant confidentiality and institutional data protection requirements; available from corresponding author on reasonable request.</w:t>
            </w:r>
          </w:p>
        </w:tc>
      </w:tr>
    </w:tbl>
    <w:p>
      <w:pPr>
        <w:spacing w:after="60" w:before="60"/>
      </w:pPr>
      <w:r>
        <w:t xml:space="preserve"/>
      </w:r>
    </w:p>
    <w:p>
      <w:pPr>
        <w:spacing w:after="80" w:before="60"/>
      </w:pPr>
      <w:r>
        <w:rPr>
          <w:rFonts w:ascii="Arial" w:cs="Arial" w:eastAsia="Arial" w:hAnsi="Arial"/>
          <w:i/>
          <w:iCs/>
          <w:sz w:val="20"/>
          <w:szCs w:val="20"/>
        </w:rPr>
        <w:t xml:space="preserve">Note: This checklist was prepared based on information reported in the manuscript. Items not addressed in the manuscript are noted as “Not reported in manuscript.” The checklist follows the CONSORT 2010 framework adapted for educational trials.</w:t>
      </w:r>
    </w:p>
    <w:p>
      <w:pPr>
        <w:spacing w:after="60" w:before="60"/>
      </w:pPr>
      <w:r>
        <w:t xml:space="preserve"/>
      </w:r>
    </w:p>
    <w:sectPr>
      <w:pgSz w:w="12240" w:h="15840"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F3864"/>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2E75B6"/>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2026-05-28T14:23:36.398Z</dcterms:created>
  <dcterms:modified xsi:type="dcterms:W3CDTF">2026-05-28T14:23:36.398Z</dcterms:modified>
</cp:coreProperties>
</file>

<file path=docProps/custom.xml><?xml version="1.0" encoding="utf-8"?>
<Properties xmlns="http://schemas.openxmlformats.org/officeDocument/2006/custom-properties" xmlns:vt="http://schemas.openxmlformats.org/officeDocument/2006/docPropsVTypes"/>
</file>