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4472C4"/>
          <w:sz w:val="22"/>
          <w:szCs w:val="22"/>
        </w:rPr>
        <w:t xml:space="preserve">Supplementary File 3</w:t>
      </w:r>
    </w:p>
    <w:p>
      <w:pPr>
        <w:spacing w:after="80" w:before="80"/>
      </w:pPr>
      <w:r>
        <w:rPr>
          <w:rFonts w:ascii="Arial" w:cs="Arial" w:eastAsia="Arial" w:hAnsi="Arial"/>
          <w:b/>
          <w:bCs/>
          <w:sz w:val="28"/>
          <w:szCs w:val="28"/>
        </w:rPr>
        <w:t xml:space="preserve">Learner Perception Questionnaire and Qualitative Coding Framework</w:t>
      </w:r>
    </w:p>
    <w:p>
      <w:pPr>
        <w:spacing w:after="200" w:before="0"/>
      </w:pPr>
      <w:r>
        <w:rPr>
          <w:rFonts w:ascii="Arial" w:cs="Arial" w:eastAsia="Arial" w:hAnsi="Arial"/>
          <w:i/>
          <w:iCs/>
          <w:sz w:val="20"/>
          <w:szCs w:val="20"/>
        </w:rPr>
        <w:t>Peer Teaching Supports Clinical Reasoning in Pediatric Dentistry Education</w:t>
      </w:r>
    </w:p>
    <w:p>
      <w:pPr>
        <w:pBdr>
          <w:bottom w:val="single" w:color="4472C4" w:sz="6" w:space="1"/>
        </w:pBdr>
        <w:spacing w:after="200" w:before="0"/>
      </w:pPr>
      <w:r>
        <w:t xml:space="preserve"/>
      </w:r>
    </w:p>
    <w:p>
      <w:pPr>
        <w:pStyle w:val="Heading1"/>
        <w:spacing w:after="180" w:before="360"/>
      </w:pPr>
      <w:r>
        <w:rPr>
          <w:rFonts w:ascii="Arial" w:cs="Arial" w:eastAsia="Arial" w:hAnsi="Arial"/>
          <w:b/>
          <w:bCs/>
          <w:sz w:val="28"/>
          <w:szCs w:val="28"/>
        </w:rPr>
        <w:t xml:space="preserve">1. Purpose of the Questionnaire</w:t>
      </w:r>
    </w:p>
    <w:p>
      <w:pPr>
        <w:spacing w:after="80" w:before="60"/>
      </w:pPr>
      <w:r>
        <w:rPr>
          <w:rFonts w:ascii="Arial" w:cs="Arial" w:eastAsia="Arial" w:hAnsi="Arial"/>
          <w:i w:val="false"/>
          <w:iCs w:val="false"/>
          <w:sz w:val="20"/>
          <w:szCs w:val="20"/>
        </w:rPr>
        <w:t xml:space="preserve">The learner perception questionnaire was administered to all participants following the intervention period to assess subjective appraisals of the instructional experience. The questionnaire was designed to capture student perceptions across four domains relevant to the study objectives: engagement in learning, perceived learning effectiveness, understanding of pediatric concepts, and collaborative learning experience. Responses provided contextual support for the quantitative findings and informed the qualitative component of the study.</w:t>
      </w:r>
    </w:p>
    <w:p>
      <w:pPr>
        <w:spacing w:after="60" w:before="60"/>
      </w:pPr>
      <w:r>
        <w:t xml:space="preserve"/>
      </w:r>
    </w:p>
    <w:p>
      <w:pPr>
        <w:pStyle w:val="Heading1"/>
        <w:spacing w:after="180" w:before="360"/>
      </w:pPr>
      <w:r>
        <w:rPr>
          <w:rFonts w:ascii="Arial" w:cs="Arial" w:eastAsia="Arial" w:hAnsi="Arial"/>
          <w:b/>
          <w:bCs/>
          <w:sz w:val="28"/>
          <w:szCs w:val="28"/>
        </w:rPr>
        <w:t xml:space="preserve">2. Questionnaire Format</w:t>
      </w:r>
    </w:p>
    <w:p>
      <w:pPr>
        <w:spacing w:after="80" w:before="60"/>
      </w:pPr>
      <w:r>
        <w:rPr>
          <w:rFonts w:ascii="Arial" w:cs="Arial" w:eastAsia="Arial" w:hAnsi="Arial"/>
          <w:i w:val="false"/>
          <w:iCs w:val="false"/>
          <w:sz w:val="20"/>
          <w:szCs w:val="20"/>
        </w:rPr>
        <w:t xml:space="preserve">All structured items were rated on a five-point Likert scale with the following response options:</w:t>
      </w:r>
    </w:p>
    <w:p>
      <w:pPr>
        <w:pStyle w:val="ListParagraph"/>
        <w:numPr>
          <w:ilvl w:val="0"/>
          <w:numId w:val="2"/>
        </w:numPr>
        <w:spacing w:after="40" w:before="40"/>
      </w:pPr>
      <w:r>
        <w:rPr>
          <w:rFonts w:ascii="Arial" w:cs="Arial" w:eastAsia="Arial" w:hAnsi="Arial"/>
          <w:sz w:val="20"/>
          <w:szCs w:val="20"/>
        </w:rPr>
        <w:t xml:space="preserve">1 = Strongly disagree</w:t>
      </w:r>
    </w:p>
    <w:p>
      <w:pPr>
        <w:pStyle w:val="ListParagraph"/>
        <w:numPr>
          <w:ilvl w:val="0"/>
          <w:numId w:val="2"/>
        </w:numPr>
        <w:spacing w:after="40" w:before="40"/>
      </w:pPr>
      <w:r>
        <w:rPr>
          <w:rFonts w:ascii="Arial" w:cs="Arial" w:eastAsia="Arial" w:hAnsi="Arial"/>
          <w:sz w:val="20"/>
          <w:szCs w:val="20"/>
        </w:rPr>
        <w:t xml:space="preserve">2 = Disagree</w:t>
      </w:r>
    </w:p>
    <w:p>
      <w:pPr>
        <w:pStyle w:val="ListParagraph"/>
        <w:numPr>
          <w:ilvl w:val="0"/>
          <w:numId w:val="2"/>
        </w:numPr>
        <w:spacing w:after="40" w:before="40"/>
      </w:pPr>
      <w:r>
        <w:rPr>
          <w:rFonts w:ascii="Arial" w:cs="Arial" w:eastAsia="Arial" w:hAnsi="Arial"/>
          <w:sz w:val="20"/>
          <w:szCs w:val="20"/>
        </w:rPr>
        <w:t xml:space="preserve">3 = Neutral</w:t>
      </w:r>
    </w:p>
    <w:p>
      <w:pPr>
        <w:pStyle w:val="ListParagraph"/>
        <w:numPr>
          <w:ilvl w:val="0"/>
          <w:numId w:val="2"/>
        </w:numPr>
        <w:spacing w:after="40" w:before="40"/>
      </w:pPr>
      <w:r>
        <w:rPr>
          <w:rFonts w:ascii="Arial" w:cs="Arial" w:eastAsia="Arial" w:hAnsi="Arial"/>
          <w:sz w:val="20"/>
          <w:szCs w:val="20"/>
        </w:rPr>
        <w:t xml:space="preserve">4 = Agree</w:t>
      </w:r>
    </w:p>
    <w:p>
      <w:pPr>
        <w:pStyle w:val="ListParagraph"/>
        <w:numPr>
          <w:ilvl w:val="0"/>
          <w:numId w:val="2"/>
        </w:numPr>
        <w:spacing w:after="40" w:before="40"/>
      </w:pPr>
      <w:r>
        <w:rPr>
          <w:rFonts w:ascii="Arial" w:cs="Arial" w:eastAsia="Arial" w:hAnsi="Arial"/>
          <w:sz w:val="20"/>
          <w:szCs w:val="20"/>
        </w:rPr>
        <w:t xml:space="preserve">5 = Strongly agree</w:t>
      </w:r>
    </w:p>
    <w:p>
      <w:pPr>
        <w:spacing w:after="60" w:before="60"/>
      </w:pPr>
      <w:r>
        <w:t xml:space="preserve"/>
      </w:r>
    </w:p>
    <w:p>
      <w:pPr>
        <w:spacing w:after="80" w:before="60"/>
      </w:pPr>
      <w:r>
        <w:rPr>
          <w:rFonts w:ascii="Arial" w:cs="Arial" w:eastAsia="Arial" w:hAnsi="Arial"/>
          <w:i w:val="false"/>
          <w:iCs w:val="false"/>
          <w:sz w:val="20"/>
          <w:szCs w:val="20"/>
        </w:rPr>
        <w:t xml:space="preserve">Two open-ended questions were included at the end of the questionnaire to elicit qualitative reflections on the learning experience.</w:t>
      </w:r>
    </w:p>
    <w:p>
      <w:pPr>
        <w:spacing w:after="60" w:before="60"/>
      </w:pPr>
      <w:r>
        <w:t xml:space="preserve"/>
      </w:r>
    </w:p>
    <w:p>
      <w:pPr>
        <w:pStyle w:val="Heading1"/>
        <w:spacing w:after="180" w:before="360"/>
      </w:pPr>
      <w:r>
        <w:rPr>
          <w:rFonts w:ascii="Arial" w:cs="Arial" w:eastAsia="Arial" w:hAnsi="Arial"/>
          <w:b/>
          <w:bCs/>
          <w:sz w:val="28"/>
          <w:szCs w:val="28"/>
        </w:rPr>
        <w:t xml:space="preserve">3. Questionnaire Items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6060"/>
      </w:tblGrid>
      <w:tr>
        <w:trPr>
          <w:tblHeader/>
        </w:trPr>
        <w:tc>
          <w:tcPr>
            <w:tcW w:type="dxa" w:w="9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Item No.</w:t>
            </w:r>
          </w:p>
        </w:tc>
        <w:tc>
          <w:tcPr>
            <w:tcW w:type="dxa" w:w="2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Domain</w:t>
            </w:r>
          </w:p>
        </w:tc>
        <w:tc>
          <w:tcPr>
            <w:tcW w:type="dxa" w:w="60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Item Text</w:t>
            </w:r>
          </w:p>
        </w:tc>
      </w:tr>
      <w:tr>
        <w:tc>
          <w:tcPr>
            <w:tcW w:type="dxa" w:w="9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1</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Engagement in learning</w:t>
            </w:r>
          </w:p>
        </w:tc>
        <w:tc>
          <w:tcPr>
            <w:tcW w:type="dxa" w:w="6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The learning activities kept me actively engaged throughout the session.</w:t>
            </w:r>
          </w:p>
        </w:tc>
      </w:tr>
      <w:tr>
        <w:tc>
          <w:tcPr>
            <w:tcW w:type="dxa" w:w="9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2</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Engagement in learning</w:t>
            </w:r>
          </w:p>
        </w:tc>
        <w:tc>
          <w:tcPr>
            <w:tcW w:type="dxa" w:w="6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 was motivated to participate fully in the group activities.</w:t>
            </w:r>
          </w:p>
        </w:tc>
      </w:tr>
      <w:tr>
        <w:tc>
          <w:tcPr>
            <w:tcW w:type="dxa" w:w="9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3</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Perceived learning effectiveness</w:t>
            </w:r>
          </w:p>
        </w:tc>
        <w:tc>
          <w:tcPr>
            <w:tcW w:type="dxa" w:w="6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 feel that the learning approach helped me understand the course content more effectively.</w:t>
            </w:r>
          </w:p>
        </w:tc>
      </w:tr>
      <w:tr>
        <w:tc>
          <w:tcPr>
            <w:tcW w:type="dxa" w:w="9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4</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Perceived learning effectiveness</w:t>
            </w:r>
          </w:p>
        </w:tc>
        <w:tc>
          <w:tcPr>
            <w:tcW w:type="dxa" w:w="6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The instructional format supported my preparation for clinical assessments.</w:t>
            </w:r>
          </w:p>
        </w:tc>
      </w:tr>
      <w:tr>
        <w:tc>
          <w:tcPr>
            <w:tcW w:type="dxa" w:w="9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5</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Understanding of pediatric concepts</w:t>
            </w:r>
          </w:p>
        </w:tc>
        <w:tc>
          <w:tcPr>
            <w:tcW w:type="dxa" w:w="6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 developed a better understanding of the key concepts in pediatric dentistry through this learning experience.</w:t>
            </w:r>
          </w:p>
        </w:tc>
      </w:tr>
      <w:tr>
        <w:tc>
          <w:tcPr>
            <w:tcW w:type="dxa" w:w="9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6</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Understanding of pediatric concepts</w:t>
            </w:r>
          </w:p>
        </w:tc>
        <w:tc>
          <w:tcPr>
            <w:tcW w:type="dxa" w:w="6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 feel more confident applying pediatric dentistry knowledge to clinical scenarios.</w:t>
            </w:r>
          </w:p>
        </w:tc>
      </w:tr>
      <w:tr>
        <w:tc>
          <w:tcPr>
            <w:tcW w:type="dxa" w:w="9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7</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Collaborative learning experience</w:t>
            </w:r>
          </w:p>
        </w:tc>
        <w:tc>
          <w:tcPr>
            <w:tcW w:type="dxa" w:w="60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Working with my peers contributed positively to my learning.</w:t>
            </w:r>
          </w:p>
        </w:tc>
      </w:tr>
      <w:tr>
        <w:tc>
          <w:tcPr>
            <w:tcW w:type="dxa" w:w="9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8</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Collaborative learning experience</w:t>
            </w:r>
          </w:p>
        </w:tc>
        <w:tc>
          <w:tcPr>
            <w:tcW w:type="dxa" w:w="60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The collaborative format helped me consolidate my understanding through discussion.</w:t>
            </w:r>
          </w:p>
        </w:tc>
      </w:tr>
    </w:tbl>
    <w:p>
      <w:pPr>
        <w:spacing w:after="60" w:before="60"/>
      </w:pPr>
      <w:r>
        <w:t xml:space="preserve"/>
      </w:r>
    </w:p>
    <w:p>
      <w:pPr>
        <w:pStyle w:val="Heading1"/>
        <w:spacing w:after="180" w:before="360"/>
      </w:pPr>
      <w:r>
        <w:rPr>
          <w:rFonts w:ascii="Arial" w:cs="Arial" w:eastAsia="Arial" w:hAnsi="Arial"/>
          <w:b/>
          <w:bCs/>
          <w:sz w:val="28"/>
          <w:szCs w:val="28"/>
        </w:rPr>
        <w:t xml:space="preserve">4. Open-Ended Questions</w:t>
      </w:r>
    </w:p>
    <w:p>
      <w:pPr>
        <w:pStyle w:val="Heading2"/>
        <w:spacing w:after="120" w:before="240"/>
      </w:pPr>
      <w:r>
        <w:rPr>
          <w:rFonts w:ascii="Arial" w:cs="Arial" w:eastAsia="Arial" w:hAnsi="Arial"/>
          <w:b/>
          <w:bCs/>
          <w:sz w:val="24"/>
          <w:szCs w:val="24"/>
        </w:rPr>
        <w:t xml:space="preserve">Question 1</w:t>
      </w:r>
    </w:p>
    <w:p>
      <w:pPr>
        <w:spacing w:after="80" w:before="60"/>
      </w:pPr>
      <w:r>
        <w:rPr>
          <w:rFonts w:ascii="Arial" w:cs="Arial" w:eastAsia="Arial" w:hAnsi="Arial"/>
          <w:i w:val="false"/>
          <w:iCs w:val="false"/>
          <w:sz w:val="20"/>
          <w:szCs w:val="20"/>
        </w:rPr>
        <w:t xml:space="preserve">What aspect of your learning experience most supported your understanding of the course content? Please describe in your own words.</w:t>
      </w:r>
    </w:p>
    <w:p>
      <w:pPr>
        <w:spacing w:after="60" w:before="60"/>
      </w:pPr>
      <w:r>
        <w:t xml:space="preserve"/>
      </w:r>
    </w:p>
    <w:p>
      <w:pPr>
        <w:pStyle w:val="Heading2"/>
        <w:spacing w:after="120" w:before="240"/>
      </w:pPr>
      <w:r>
        <w:rPr>
          <w:rFonts w:ascii="Arial" w:cs="Arial" w:eastAsia="Arial" w:hAnsi="Arial"/>
          <w:b/>
          <w:bCs/>
          <w:sz w:val="24"/>
          <w:szCs w:val="24"/>
        </w:rPr>
        <w:t xml:space="preserve">Question 2</w:t>
      </w:r>
    </w:p>
    <w:p>
      <w:pPr>
        <w:spacing w:after="80" w:before="60"/>
      </w:pPr>
      <w:r>
        <w:rPr>
          <w:rFonts w:ascii="Arial" w:cs="Arial" w:eastAsia="Arial" w:hAnsi="Arial"/>
          <w:i w:val="false"/>
          <w:iCs w:val="false"/>
          <w:sz w:val="20"/>
          <w:szCs w:val="20"/>
        </w:rPr>
        <w:t xml:space="preserve">What challenges or limitations did you experience during this learning activity? Please describe in your own words.</w:t>
      </w:r>
    </w:p>
    <w:p>
      <w:pPr>
        <w:spacing w:after="60" w:before="60"/>
      </w:pPr>
      <w:r>
        <w:t xml:space="preserve"/>
      </w:r>
    </w:p>
    <w:p>
      <w:pPr>
        <w:pStyle w:val="Heading1"/>
        <w:spacing w:after="180" w:before="360"/>
      </w:pPr>
      <w:r>
        <w:rPr>
          <w:rFonts w:ascii="Arial" w:cs="Arial" w:eastAsia="Arial" w:hAnsi="Arial"/>
          <w:b/>
          <w:bCs/>
          <w:sz w:val="28"/>
          <w:szCs w:val="28"/>
        </w:rPr>
        <w:t xml:space="preserve">5. Qualitative Coding Framework</w:t>
      </w:r>
    </w:p>
    <w:p>
      <w:pPr>
        <w:spacing w:after="80" w:before="60"/>
      </w:pPr>
      <w:r>
        <w:rPr>
          <w:rFonts w:ascii="Arial" w:cs="Arial" w:eastAsia="Arial" w:hAnsi="Arial"/>
          <w:i w:val="false"/>
          <w:iCs w:val="false"/>
          <w:sz w:val="20"/>
          <w:szCs w:val="20"/>
        </w:rPr>
        <w:t xml:space="preserve">Open-ended responses were analyzed using thematic analysis. Two investigators independently coded all responses and identified preliminary themes. Discrepancies between coders were resolved through iterative discussion until consensus on the final thematic structure was reached. Final themes and their operational definitions were agreed by consensus prior to reporting.</w:t>
      </w:r>
    </w:p>
    <w:p>
      <w:pPr>
        <w:spacing w:after="60" w:before="60"/>
      </w:pPr>
      <w:r>
        <w:t xml:space="preserve"/>
      </w:r>
    </w:p>
    <w:p>
      <w:pPr>
        <w:spacing w:after="80" w:before="60"/>
      </w:pPr>
      <w:r>
        <w:rPr>
          <w:rFonts w:ascii="Arial" w:cs="Arial" w:eastAsia="Arial" w:hAnsi="Arial"/>
          <w:i w:val="false"/>
          <w:iCs w:val="false"/>
          <w:sz w:val="20"/>
          <w:szCs w:val="20"/>
        </w:rPr>
        <w:t xml:space="preserve">Three themes were identified, corresponding to the domains reported in the main manuscript.</w:t>
      </w:r>
    </w:p>
    <w:p>
      <w:pPr>
        <w:spacing w:after="60" w:before="60"/>
      </w:pPr>
      <w:r>
        <w:t xml:space="preserve"/>
      </w:r>
    </w:p>
    <w:p>
      <w:pPr>
        <w:pStyle w:val="Heading1"/>
        <w:spacing w:after="180" w:before="360"/>
      </w:pPr>
      <w:r>
        <w:rPr>
          <w:rFonts w:ascii="Arial" w:cs="Arial" w:eastAsia="Arial" w:hAnsi="Arial"/>
          <w:b/>
          <w:bCs/>
          <w:sz w:val="28"/>
          <w:szCs w:val="28"/>
        </w:rPr>
        <w:t xml:space="preserve">6. Thematic Summary Table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2760"/>
        <w:gridCol w:w="2400"/>
      </w:tblGrid>
      <w:tr>
        <w:trPr>
          <w:tblHeader/>
        </w:trPr>
        <w:tc>
          <w:tcPr>
            <w:tcW w:type="dxa" w:w="18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Theme</w:t>
            </w:r>
          </w:p>
        </w:tc>
        <w:tc>
          <w:tcPr>
            <w:tcW w:type="dxa" w:w="2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Operational Definition</w:t>
            </w:r>
          </w:p>
        </w:tc>
        <w:tc>
          <w:tcPr>
            <w:tcW w:type="dxa" w:w="27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Example Indicators</w:t>
            </w:r>
          </w:p>
        </w:tc>
        <w:tc>
          <w:tcPr>
            <w:tcW w:type="dxa" w:w="2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Representative Quotation</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Integration of clinical concepts</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Students described an improved ability to connect diagnostic findings with treatment decisions across multiple pediatric dentistry domains.</w:t>
            </w:r>
          </w:p>
        </w:tc>
        <w:tc>
          <w:tcPr>
            <w:tcW w:type="dxa" w:w="27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Describing how the exercise linked risk assessment with treatment planning; identifying connections between behavior guidance and prevention; reflecting on how peer explanation prompted reconsideration of previously held assumptions.</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“Teaching my peers forced me to understand how diagnosis, prevention, and behavior management fit together.”</w:t>
            </w:r>
          </w:p>
        </w:tc>
      </w:tr>
      <w:tr>
        <w:tc>
          <w:tcPr>
            <w:tcW w:type="dxa" w:w="18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Confidence in parent communication</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Students reported increased confidence in their ability to explain clinical findings and treatment plans to parents in accessible, non-technical language.</w:t>
            </w:r>
          </w:p>
        </w:tc>
        <w:tc>
          <w:tcPr>
            <w:tcW w:type="dxa" w:w="27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Describing reduced anxiety about parent interactions; noting improved ability to explain options clearly; reflecting on how the group sessions provided an opportunity to rehearse communication strategies.</w:t>
            </w:r>
          </w:p>
        </w:tc>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 felt more confident explaining options to parents during the OSCE after practicing in the group.”</w:t>
            </w:r>
          </w:p>
        </w:tc>
      </w:tr>
      <w:tr>
        <w:tc>
          <w:tcPr>
            <w:tcW w:type="dxa" w:w="18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Value of peer teaching</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Students recognized peer teaching as a distinct mechanism for deepening their own understanding of complex content.</w:t>
            </w:r>
          </w:p>
        </w:tc>
        <w:tc>
          <w:tcPr>
            <w:tcW w:type="dxa" w:w="27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Contrasting peer explanation favorably with passive listening; noting that preparing to teach prompted deeper engagement with the material; reflecting on the accountability created by the peer-teaching structure.</w:t>
            </w:r>
          </w:p>
        </w:tc>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“Explaining the topic to others made it much clearer for me than listening to a lecture.”</w:t>
            </w:r>
          </w:p>
        </w:tc>
      </w:tr>
    </w:tbl>
    <w:p>
      <w:pPr>
        <w:spacing w:after="60" w:before="60"/>
      </w:pPr>
      <w:r>
        <w:t xml:space="preserve"/>
      </w:r>
    </w:p>
    <w:p>
      <w:pPr>
        <w:pStyle w:val="Heading1"/>
        <w:spacing w:after="180" w:before="360"/>
      </w:pPr>
      <w:r>
        <w:rPr>
          <w:rFonts w:ascii="Arial" w:cs="Arial" w:eastAsia="Arial" w:hAnsi="Arial"/>
          <w:b/>
          <w:bCs/>
          <w:sz w:val="28"/>
          <w:szCs w:val="28"/>
        </w:rPr>
        <w:t xml:space="preserve">7. Coding Procedure</w:t>
      </w:r>
    </w:p>
    <w:p>
      <w:pPr>
        <w:pStyle w:val="ListParagraph"/>
        <w:numPr>
          <w:ilvl w:val="0"/>
          <w:numId w:val="2"/>
        </w:numPr>
        <w:spacing w:after="40" w:before="40"/>
      </w:pPr>
      <w:r>
        <w:rPr>
          <w:rFonts w:ascii="Arial" w:cs="Arial" w:eastAsia="Arial" w:hAnsi="Arial"/>
          <w:sz w:val="20"/>
          <w:szCs w:val="20"/>
        </w:rPr>
        <w:t xml:space="preserve">Two investigators independently read all open-ended responses and applied initial codes based on semantic content.</w:t>
      </w:r>
    </w:p>
    <w:p>
      <w:pPr>
        <w:pStyle w:val="ListParagraph"/>
        <w:numPr>
          <w:ilvl w:val="0"/>
          <w:numId w:val="2"/>
        </w:numPr>
        <w:spacing w:after="40" w:before="40"/>
      </w:pPr>
      <w:r>
        <w:rPr>
          <w:rFonts w:ascii="Arial" w:cs="Arial" w:eastAsia="Arial" w:hAnsi="Arial"/>
          <w:sz w:val="20"/>
          <w:szCs w:val="20"/>
        </w:rPr>
        <w:t xml:space="preserve">Codes were grouped into candidate themes by each investigator independently.</w:t>
      </w:r>
    </w:p>
    <w:p>
      <w:pPr>
        <w:pStyle w:val="ListParagraph"/>
        <w:numPr>
          <w:ilvl w:val="0"/>
          <w:numId w:val="2"/>
        </w:numPr>
        <w:spacing w:after="40" w:before="40"/>
      </w:pPr>
      <w:r>
        <w:rPr>
          <w:rFonts w:ascii="Arial" w:cs="Arial" w:eastAsia="Arial" w:hAnsi="Arial"/>
          <w:sz w:val="20"/>
          <w:szCs w:val="20"/>
        </w:rPr>
        <w:t xml:space="preserve">Investigators met to compare coding outputs, discuss discrepancies, and refine theme definitions.</w:t>
      </w:r>
    </w:p>
    <w:p>
      <w:pPr>
        <w:pStyle w:val="ListParagraph"/>
        <w:numPr>
          <w:ilvl w:val="0"/>
          <w:numId w:val="2"/>
        </w:numPr>
        <w:spacing w:after="40" w:before="40"/>
      </w:pPr>
      <w:r>
        <w:rPr>
          <w:rFonts w:ascii="Arial" w:cs="Arial" w:eastAsia="Arial" w:hAnsi="Arial"/>
          <w:sz w:val="20"/>
          <w:szCs w:val="20"/>
        </w:rPr>
        <w:t xml:space="preserve">All discrepancies were resolved through discussion and mutual agreement; no formal arbitration procedure was required.</w:t>
      </w:r>
    </w:p>
    <w:p>
      <w:pPr>
        <w:pStyle w:val="ListParagraph"/>
        <w:numPr>
          <w:ilvl w:val="0"/>
          <w:numId w:val="2"/>
        </w:numPr>
        <w:spacing w:after="40" w:before="40"/>
      </w:pPr>
      <w:r>
        <w:rPr>
          <w:rFonts w:ascii="Arial" w:cs="Arial" w:eastAsia="Arial" w:hAnsi="Arial"/>
          <w:sz w:val="20"/>
          <w:szCs w:val="20"/>
        </w:rPr>
        <w:t xml:space="preserve">Final themes and their operational definitions were agreed by consensus and are presented in the thematic summary table above.</w:t>
      </w:r>
    </w:p>
    <w:p>
      <w:pPr>
        <w:spacing w:after="60" w:before="60"/>
      </w:pPr>
      <w:r>
        <w:t xml:space="preserve"/>
      </w:r>
    </w:p>
    <w:p>
      <w:pPr>
        <w:spacing w:after="80" w:before="60"/>
      </w:pPr>
      <w:r>
        <w:rPr>
          <w:rFonts w:ascii="Arial" w:cs="Arial" w:eastAsia="Arial" w:hAnsi="Arial"/>
          <w:i/>
          <w:iCs/>
          <w:sz w:val="20"/>
          <w:szCs w:val="20"/>
        </w:rPr>
        <w:t xml:space="preserve">Note: Quotations presented in this supplement and in the main manuscript are drawn directly from open-ended responses submitted by participants and have not been altered except for minor grammatical standardization where required for clarity.</w:t>
      </w:r>
    </w:p>
    <w:p>
      <w:pPr>
        <w:spacing w:after="60" w:before="60"/>
      </w:pPr>
      <w:r>
        <w:t xml:space="preserve"/>
      </w:r>
    </w:p>
    <w:sectPr>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E75B6"/>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2026-05-28T14:23:36.389Z</dcterms:created>
  <dcterms:modified xsi:type="dcterms:W3CDTF">2026-05-28T14:23:36.389Z</dcterms:modified>
</cp:coreProperties>
</file>

<file path=docProps/custom.xml><?xml version="1.0" encoding="utf-8"?>
<Properties xmlns="http://schemas.openxmlformats.org/officeDocument/2006/custom-properties" xmlns:vt="http://schemas.openxmlformats.org/officeDocument/2006/docPropsVTypes"/>
</file>