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olor w:val="4472C4"/>
          <w:sz w:val="22"/>
          <w:szCs w:val="22"/>
        </w:rPr>
        <w:t xml:space="preserve">Supplementary File 1</w:t>
      </w:r>
    </w:p>
    <w:p>
      <w:pPr>
        <w:spacing w:after="80" w:before="80"/>
      </w:pPr>
      <w:r>
        <w:rPr>
          <w:rFonts w:ascii="Arial" w:cs="Arial" w:eastAsia="Arial" w:hAnsi="Arial"/>
          <w:b/>
          <w:bCs/>
          <w:sz w:val="28"/>
          <w:szCs w:val="28"/>
        </w:rPr>
        <w:t xml:space="preserve">Detailed Description of the Jigsaw-Based Educational Intervention</w:t>
      </w:r>
    </w:p>
    <w:p>
      <w:pPr>
        <w:spacing w:after="200" w:before="0"/>
      </w:pPr>
      <w:r>
        <w:rPr>
          <w:rFonts w:ascii="Arial" w:cs="Arial" w:eastAsia="Arial" w:hAnsi="Arial"/>
          <w:i/>
          <w:iCs/>
          <w:sz w:val="20"/>
          <w:szCs w:val="20"/>
        </w:rPr>
        <w:t>Peer Teaching Supports Clinical Reasoning in Pediatric Dentistry Education</w:t>
      </w:r>
    </w:p>
    <w:p>
      <w:pPr>
        <w:pBdr>
          <w:bottom w:val="single" w:color="4472C4" w:sz="6" w:space="1"/>
        </w:pBdr>
        <w:spacing w:after="200" w:before="0"/>
      </w:pPr>
      <w:r>
        <w:t xml:space="preserve"/>
      </w:r>
    </w:p>
    <w:p>
      <w:pPr>
        <w:pStyle w:val="Heading1"/>
        <w:spacing w:after="180" w:before="360"/>
      </w:pPr>
      <w:r>
        <w:rPr>
          <w:rFonts w:ascii="Arial" w:cs="Arial" w:eastAsia="Arial" w:hAnsi="Arial"/>
          <w:b/>
          <w:bCs/>
          <w:sz w:val="28"/>
          <w:szCs w:val="28"/>
        </w:rPr>
        <w:t xml:space="preserve">1. Purpose of the Intervention</w:t>
      </w:r>
    </w:p>
    <w:p>
      <w:pPr>
        <w:spacing w:after="80" w:before="60"/>
      </w:pPr>
      <w:r>
        <w:rPr>
          <w:rFonts w:ascii="Arial" w:cs="Arial" w:eastAsia="Arial" w:hAnsi="Arial"/>
          <w:i w:val="false"/>
          <w:iCs w:val="false"/>
          <w:sz w:val="20"/>
          <w:szCs w:val="20"/>
        </w:rPr>
        <w:t xml:space="preserve">This supplementary file provides a detailed account of the Jigsaw-based cooperative learning intervention implemented in the randomized controlled study. The intervention was designed to promote active, peer-mediated learning within the undergraduate pediatric dentistry curriculum, with the aim of developing integrated clinical reasoning, diagnostic accuracy, knowledge retention, and communication competencies.</w:t>
      </w:r>
    </w:p>
    <w:p>
      <w:pPr>
        <w:spacing w:after="60" w:before="60"/>
      </w:pPr>
      <w:r>
        <w:t xml:space="preserve"/>
      </w:r>
    </w:p>
    <w:p>
      <w:pPr>
        <w:pStyle w:val="Heading1"/>
        <w:spacing w:after="180" w:before="360"/>
      </w:pPr>
      <w:r>
        <w:rPr>
          <w:rFonts w:ascii="Arial" w:cs="Arial" w:eastAsia="Arial" w:hAnsi="Arial"/>
          <w:b/>
          <w:bCs/>
          <w:sz w:val="28"/>
          <w:szCs w:val="28"/>
        </w:rPr>
        <w:t xml:space="preserve">2. Educational Rationale</w:t>
      </w:r>
    </w:p>
    <w:p>
      <w:pPr>
        <w:spacing w:after="80" w:before="60"/>
      </w:pPr>
      <w:r>
        <w:rPr>
          <w:rFonts w:ascii="Arial" w:cs="Arial" w:eastAsia="Arial" w:hAnsi="Arial"/>
          <w:i w:val="false"/>
          <w:iCs w:val="false"/>
          <w:sz w:val="20"/>
          <w:szCs w:val="20"/>
        </w:rPr>
        <w:t xml:space="preserve">The Jigsaw model was selected based on its theoretical alignment with constructivist learning principles, which emphasize active knowledge construction through social interaction and peer explanation. In pediatric dentistry education, clinical competence requires the simultaneous integration of multiple content domains including caries risk assessment, preventive decision-making, minimally invasive treatment planning, behavior guidance, and communication with parents and caregivers. A structured peer-teaching format was considered well-suited to encourage this integrative reasoning, as students are required not only to acquire domain-specific knowledge but also to synthesize and communicate it within a collaborative group context.</w:t>
      </w:r>
    </w:p>
    <w:p>
      <w:pPr>
        <w:spacing w:after="60" w:before="60"/>
      </w:pPr>
      <w:r>
        <w:t xml:space="preserve"/>
      </w:r>
    </w:p>
    <w:p>
      <w:pPr>
        <w:pStyle w:val="Heading1"/>
        <w:spacing w:after="180" w:before="360"/>
      </w:pPr>
      <w:r>
        <w:rPr>
          <w:rFonts w:ascii="Arial" w:cs="Arial" w:eastAsia="Arial" w:hAnsi="Arial"/>
          <w:b/>
          <w:bCs/>
          <w:sz w:val="28"/>
          <w:szCs w:val="28"/>
        </w:rPr>
        <w:t xml:space="preserve">3. Participants and Setting</w:t>
      </w:r>
    </w:p>
    <w:p>
      <w:pPr>
        <w:spacing w:after="80" w:before="60"/>
      </w:pPr>
      <w:r>
        <w:rPr>
          <w:rFonts w:ascii="Arial" w:cs="Arial" w:eastAsia="Arial" w:hAnsi="Arial"/>
          <w:i w:val="false"/>
          <w:iCs w:val="false"/>
          <w:sz w:val="20"/>
          <w:szCs w:val="20"/>
        </w:rPr>
        <w:t xml:space="preserve">The intervention was conducted with fourth-year Bachelor of Dental Surgery (BDS) students enrolled in the undergraduate pediatric dentistry course at a Gulf-region dental school. All participants had met the predefined inclusion criteria, including attendance of at least 80% of scheduled course activities and no prior formal exposure to the Jigsaw cooperative learning technique. The sessions took place within the existing curriculum structure and did not require additional instructional time beyond the scheduled allocation.</w:t>
      </w:r>
    </w:p>
    <w:p>
      <w:pPr>
        <w:spacing w:after="60" w:before="60"/>
      </w:pPr>
      <w:r>
        <w:t xml:space="preserve"/>
      </w:r>
    </w:p>
    <w:p>
      <w:pPr>
        <w:pStyle w:val="Heading1"/>
        <w:spacing w:after="180" w:before="360"/>
      </w:pPr>
      <w:r>
        <w:rPr>
          <w:rFonts w:ascii="Arial" w:cs="Arial" w:eastAsia="Arial" w:hAnsi="Arial"/>
          <w:b/>
          <w:bCs/>
          <w:sz w:val="28"/>
          <w:szCs w:val="28"/>
        </w:rPr>
        <w:t xml:space="preserve">4. Session Structure</w:t>
      </w:r>
    </w:p>
    <w:p>
      <w:pPr>
        <w:spacing w:after="80" w:before="60"/>
      </w:pPr>
      <w:r>
        <w:rPr>
          <w:rFonts w:ascii="Arial" w:cs="Arial" w:eastAsia="Arial" w:hAnsi="Arial"/>
          <w:i w:val="false"/>
          <w:iCs w:val="false"/>
          <w:sz w:val="20"/>
          <w:szCs w:val="20"/>
        </w:rPr>
        <w:t xml:space="preserve">The intervention comprised four structured Jigsaw sessions, each lasting 60 minutes. Each session was organized around one or more of the five core pediatric dentistry domains identified for the intervention. The session structure followed the original Jigsaw format described by Aronson, consisting of two phases: the expert group phase and the home group phase.</w:t>
      </w:r>
    </w:p>
    <w:p>
      <w:pPr>
        <w:spacing w:after="60" w:before="60"/>
      </w:pPr>
      <w:r>
        <w:t xml:space="preserve"/>
      </w:r>
    </w:p>
    <w:p>
      <w:pPr>
        <w:pStyle w:val="Heading1"/>
        <w:spacing w:after="180" w:before="360"/>
      </w:pPr>
      <w:r>
        <w:rPr>
          <w:rFonts w:ascii="Arial" w:cs="Arial" w:eastAsia="Arial" w:hAnsi="Arial"/>
          <w:b/>
          <w:bCs/>
          <w:sz w:val="28"/>
          <w:szCs w:val="28"/>
        </w:rPr>
        <w:t xml:space="preserve">5. Core Pediatric Dentistry Domains</w:t>
      </w:r>
    </w:p>
    <w:p>
      <w:pPr>
        <w:spacing w:after="80" w:before="60"/>
      </w:pPr>
      <w:r>
        <w:rPr>
          <w:rFonts w:ascii="Arial" w:cs="Arial" w:eastAsia="Arial" w:hAnsi="Arial"/>
          <w:i w:val="false"/>
          <w:iCs w:val="false"/>
          <w:sz w:val="20"/>
          <w:szCs w:val="20"/>
        </w:rPr>
        <w:t xml:space="preserve">Five fundamental domains of pediatric dentistry were selected in accordance with the American Academy of Pediatric Dentistry (AAPD) Reference Manual and undergraduate curriculum recommendations. These domains were:</w:t>
      </w:r>
    </w:p>
    <w:p>
      <w:pPr>
        <w:pStyle w:val="ListParagraph"/>
        <w:numPr>
          <w:ilvl w:val="0"/>
          <w:numId w:val="2"/>
        </w:numPr>
        <w:spacing w:after="40" w:before="40"/>
      </w:pPr>
      <w:r>
        <w:rPr>
          <w:rFonts w:ascii="Arial" w:cs="Arial" w:eastAsia="Arial" w:hAnsi="Arial"/>
          <w:sz w:val="20"/>
          <w:szCs w:val="20"/>
        </w:rPr>
        <w:t xml:space="preserve">Caries risk assessment</w:t>
      </w:r>
    </w:p>
    <w:p>
      <w:pPr>
        <w:pStyle w:val="ListParagraph"/>
        <w:numPr>
          <w:ilvl w:val="0"/>
          <w:numId w:val="2"/>
        </w:numPr>
        <w:spacing w:after="40" w:before="40"/>
      </w:pPr>
      <w:r>
        <w:rPr>
          <w:rFonts w:ascii="Arial" w:cs="Arial" w:eastAsia="Arial" w:hAnsi="Arial"/>
          <w:sz w:val="20"/>
          <w:szCs w:val="20"/>
        </w:rPr>
        <w:t xml:space="preserve">Preventive strategies</w:t>
      </w:r>
    </w:p>
    <w:p>
      <w:pPr>
        <w:pStyle w:val="ListParagraph"/>
        <w:numPr>
          <w:ilvl w:val="0"/>
          <w:numId w:val="2"/>
        </w:numPr>
        <w:spacing w:after="40" w:before="40"/>
      </w:pPr>
      <w:r>
        <w:rPr>
          <w:rFonts w:ascii="Arial" w:cs="Arial" w:eastAsia="Arial" w:hAnsi="Arial"/>
          <w:sz w:val="20"/>
          <w:szCs w:val="20"/>
        </w:rPr>
        <w:t xml:space="preserve">Minimally invasive treatment planning</w:t>
      </w:r>
    </w:p>
    <w:p>
      <w:pPr>
        <w:pStyle w:val="ListParagraph"/>
        <w:numPr>
          <w:ilvl w:val="0"/>
          <w:numId w:val="2"/>
        </w:numPr>
        <w:spacing w:after="40" w:before="40"/>
      </w:pPr>
      <w:r>
        <w:rPr>
          <w:rFonts w:ascii="Arial" w:cs="Arial" w:eastAsia="Arial" w:hAnsi="Arial"/>
          <w:sz w:val="20"/>
          <w:szCs w:val="20"/>
        </w:rPr>
        <w:t xml:space="preserve">Behavior guidance</w:t>
      </w:r>
    </w:p>
    <w:p>
      <w:pPr>
        <w:pStyle w:val="ListParagraph"/>
        <w:numPr>
          <w:ilvl w:val="0"/>
          <w:numId w:val="2"/>
        </w:numPr>
        <w:spacing w:after="40" w:before="40"/>
      </w:pPr>
      <w:r>
        <w:rPr>
          <w:rFonts w:ascii="Arial" w:cs="Arial" w:eastAsia="Arial" w:hAnsi="Arial"/>
          <w:sz w:val="20"/>
          <w:szCs w:val="20"/>
        </w:rPr>
        <w:t xml:space="preserve">Communication with parents</w:t>
      </w:r>
    </w:p>
    <w:p>
      <w:pPr>
        <w:spacing w:after="60" w:before="60"/>
      </w:pPr>
      <w:r>
        <w:t xml:space="preserve"/>
      </w:r>
    </w:p>
    <w:p>
      <w:pPr>
        <w:pStyle w:val="Heading1"/>
        <w:spacing w:after="180" w:before="360"/>
      </w:pPr>
      <w:r>
        <w:rPr>
          <w:rFonts w:ascii="Arial" w:cs="Arial" w:eastAsia="Arial" w:hAnsi="Arial"/>
          <w:b/>
          <w:bCs/>
          <w:sz w:val="28"/>
          <w:szCs w:val="28"/>
        </w:rPr>
        <w:t xml:space="preserve">6. Expert Groups</w:t>
      </w:r>
    </w:p>
    <w:p>
      <w:pPr>
        <w:spacing w:after="80" w:before="60"/>
      </w:pPr>
      <w:r>
        <w:rPr>
          <w:rFonts w:ascii="Arial" w:cs="Arial" w:eastAsia="Arial" w:hAnsi="Arial"/>
          <w:i w:val="false"/>
          <w:iCs w:val="false"/>
          <w:sz w:val="20"/>
          <w:szCs w:val="20"/>
        </w:rPr>
        <w:t xml:space="preserve">At the commencement of each session, students were assigned to expert groups. Each expert group was responsible for one specific domain. Within the expert group, students engaged with curated learning materials including short readings, clinical images, and case vignettes accompanied by structured guiding questions. Students were expected to develop a thorough understanding of their assigned domain sufficient to teach it to peers. Facilitators monitored expert groups to ensure balanced participation and adherence to the allocated time.</w:t>
      </w:r>
    </w:p>
    <w:p>
      <w:pPr>
        <w:spacing w:after="60" w:before="60"/>
      </w:pPr>
      <w:r>
        <w:t xml:space="preserve"/>
      </w:r>
    </w:p>
    <w:p>
      <w:pPr>
        <w:pStyle w:val="Heading1"/>
        <w:spacing w:after="180" w:before="360"/>
      </w:pPr>
      <w:r>
        <w:rPr>
          <w:rFonts w:ascii="Arial" w:cs="Arial" w:eastAsia="Arial" w:hAnsi="Arial"/>
          <w:b/>
          <w:bCs/>
          <w:sz w:val="28"/>
          <w:szCs w:val="28"/>
        </w:rPr>
        <w:t xml:space="preserve">7. Home Groups</w:t>
      </w:r>
    </w:p>
    <w:p>
      <w:pPr>
        <w:spacing w:after="80" w:before="60"/>
      </w:pPr>
      <w:r>
        <w:rPr>
          <w:rFonts w:ascii="Arial" w:cs="Arial" w:eastAsia="Arial" w:hAnsi="Arial"/>
          <w:i w:val="false"/>
          <w:iCs w:val="false"/>
          <w:sz w:val="20"/>
          <w:szCs w:val="20"/>
        </w:rPr>
        <w:t xml:space="preserve">Following the expert group phase, students returned to their home groups. Each home group comprised one student representative from each of the five domain expert groups. Each student then taught their respective domain to the other members of the home group. This reciprocal peer-teaching structure ensured that all students were exposed to content across all five domains through the explanations of their peers.</w:t>
      </w:r>
    </w:p>
    <w:p>
      <w:pPr>
        <w:spacing w:after="60" w:before="60"/>
      </w:pPr>
      <w:r>
        <w:t xml:space="preserve"/>
      </w:r>
    </w:p>
    <w:p>
      <w:pPr>
        <w:pStyle w:val="Heading1"/>
        <w:spacing w:after="180" w:before="360"/>
      </w:pPr>
      <w:r>
        <w:rPr>
          <w:rFonts w:ascii="Arial" w:cs="Arial" w:eastAsia="Arial" w:hAnsi="Arial"/>
          <w:b/>
          <w:bCs/>
          <w:sz w:val="28"/>
          <w:szCs w:val="28"/>
        </w:rPr>
        <w:t xml:space="preserve">8. Case Integration</w:t>
      </w:r>
    </w:p>
    <w:p>
      <w:pPr>
        <w:spacing w:after="80" w:before="60"/>
      </w:pPr>
      <w:r>
        <w:rPr>
          <w:rFonts w:ascii="Arial" w:cs="Arial" w:eastAsia="Arial" w:hAnsi="Arial"/>
          <w:i w:val="false"/>
          <w:iCs w:val="false"/>
          <w:sz w:val="20"/>
          <w:szCs w:val="20"/>
        </w:rPr>
        <w:t xml:space="preserve">After the peer-teaching phase within the home groups, students collaborated to integrate all five domains into a comprehensive response to a standardized pediatric case. This required the group to synthesize the information presented by each member and develop a coherent diagnostic assessment and treatment plan, including caries risk stratification, preventive recommendations, minimally invasive treatment options, a behavior guidance approach, and a communication strategy for the child's parents. This integration task was the culminating activity of each session and was central to the development of clinical reasoning.</w:t>
      </w:r>
    </w:p>
    <w:p>
      <w:pPr>
        <w:spacing w:after="60" w:before="60"/>
      </w:pPr>
      <w:r>
        <w:t xml:space="preserve"/>
      </w:r>
    </w:p>
    <w:p>
      <w:pPr>
        <w:pStyle w:val="Heading1"/>
        <w:spacing w:after="180" w:before="360"/>
      </w:pPr>
      <w:r>
        <w:rPr>
          <w:rFonts w:ascii="Arial" w:cs="Arial" w:eastAsia="Arial" w:hAnsi="Arial"/>
          <w:b/>
          <w:bCs/>
          <w:sz w:val="28"/>
          <w:szCs w:val="28"/>
        </w:rPr>
        <w:t xml:space="preserve">9. Learning Materials</w:t>
      </w:r>
    </w:p>
    <w:p>
      <w:pPr>
        <w:spacing w:after="80" w:before="60"/>
      </w:pPr>
      <w:r>
        <w:rPr>
          <w:rFonts w:ascii="Arial" w:cs="Arial" w:eastAsia="Arial" w:hAnsi="Arial"/>
          <w:i w:val="false"/>
          <w:iCs w:val="false"/>
          <w:sz w:val="20"/>
          <w:szCs w:val="20"/>
        </w:rPr>
        <w:t xml:space="preserve">All learning materials were standardized across expert groups and sessions. Materials consisted of:</w:t>
      </w:r>
    </w:p>
    <w:p>
      <w:pPr>
        <w:pStyle w:val="ListParagraph"/>
        <w:numPr>
          <w:ilvl w:val="0"/>
          <w:numId w:val="2"/>
        </w:numPr>
        <w:spacing w:after="40" w:before="40"/>
      </w:pPr>
      <w:r>
        <w:rPr>
          <w:rFonts w:ascii="Arial" w:cs="Arial" w:eastAsia="Arial" w:hAnsi="Arial"/>
          <w:sz w:val="20"/>
          <w:szCs w:val="20"/>
        </w:rPr>
        <w:t xml:space="preserve">Short readings: concise, curriculum-aligned texts covering the key concepts within each domain.</w:t>
      </w:r>
    </w:p>
    <w:p>
      <w:pPr>
        <w:pStyle w:val="ListParagraph"/>
        <w:numPr>
          <w:ilvl w:val="0"/>
          <w:numId w:val="2"/>
        </w:numPr>
        <w:spacing w:after="40" w:before="40"/>
      </w:pPr>
      <w:r>
        <w:rPr>
          <w:rFonts w:ascii="Arial" w:cs="Arial" w:eastAsia="Arial" w:hAnsi="Arial"/>
          <w:sz w:val="20"/>
          <w:szCs w:val="20"/>
        </w:rPr>
        <w:t xml:space="preserve">Clinical images: representative dental photographs and radiographic images relevant to the case and domain.</w:t>
      </w:r>
    </w:p>
    <w:p>
      <w:pPr>
        <w:pStyle w:val="ListParagraph"/>
        <w:numPr>
          <w:ilvl w:val="0"/>
          <w:numId w:val="2"/>
        </w:numPr>
        <w:spacing w:after="40" w:before="40"/>
      </w:pPr>
      <w:r>
        <w:rPr>
          <w:rFonts w:ascii="Arial" w:cs="Arial" w:eastAsia="Arial" w:hAnsi="Arial"/>
          <w:sz w:val="20"/>
          <w:szCs w:val="20"/>
        </w:rPr>
        <w:t xml:space="preserve">Case vignettes: brief written descriptions of a standardized pediatric patient scenario presenting with features relevant to each domain.</w:t>
      </w:r>
    </w:p>
    <w:p>
      <w:pPr>
        <w:pStyle w:val="ListParagraph"/>
        <w:numPr>
          <w:ilvl w:val="0"/>
          <w:numId w:val="2"/>
        </w:numPr>
        <w:spacing w:after="40" w:before="40"/>
      </w:pPr>
      <w:r>
        <w:rPr>
          <w:rFonts w:ascii="Arial" w:cs="Arial" w:eastAsia="Arial" w:hAnsi="Arial"/>
          <w:sz w:val="20"/>
          <w:szCs w:val="20"/>
        </w:rPr>
        <w:t xml:space="preserve">Structured guiding questions: domain-specific questions designed to direct student inquiry, promote critical analysis, and prepare students to teach the content to peers.</w:t>
      </w:r>
    </w:p>
    <w:p>
      <w:pPr>
        <w:spacing w:after="60" w:before="60"/>
      </w:pPr>
      <w:r>
        <w:t xml:space="preserve"/>
      </w:r>
    </w:p>
    <w:p>
      <w:pPr>
        <w:pStyle w:val="Heading1"/>
        <w:spacing w:after="180" w:before="360"/>
      </w:pPr>
      <w:r>
        <w:rPr>
          <w:rFonts w:ascii="Arial" w:cs="Arial" w:eastAsia="Arial" w:hAnsi="Arial"/>
          <w:b/>
          <w:bCs/>
          <w:sz w:val="28"/>
          <w:szCs w:val="28"/>
        </w:rPr>
        <w:t xml:space="preserve">10. Facilitator Role</w:t>
      </w:r>
    </w:p>
    <w:p>
      <w:pPr>
        <w:spacing w:after="80" w:before="60"/>
      </w:pPr>
      <w:r>
        <w:rPr>
          <w:rFonts w:ascii="Arial" w:cs="Arial" w:eastAsia="Arial" w:hAnsi="Arial"/>
          <w:i w:val="false"/>
          <w:iCs w:val="false"/>
          <w:sz w:val="20"/>
          <w:szCs w:val="20"/>
        </w:rPr>
        <w:t xml:space="preserve">Facilitators were present throughout each session to maintain group process and ensure engagement. The facilitator role was explicitly defined as process facilitation only. Facilitators were instructed not to provide direct instruction, corrective feedback, or content supplementation of any kind that could influence the content of student learning. Their responsibilities were limited to monitoring group dynamics, managing time allocation, and ensuring all students participated equitably.</w:t>
      </w:r>
    </w:p>
    <w:p>
      <w:pPr>
        <w:spacing w:after="60" w:before="60"/>
      </w:pPr>
      <w:r>
        <w:t xml:space="preserve"/>
      </w:r>
    </w:p>
    <w:p>
      <w:pPr>
        <w:pStyle w:val="Heading1"/>
        <w:spacing w:after="180" w:before="360"/>
      </w:pPr>
      <w:r>
        <w:rPr>
          <w:rFonts w:ascii="Arial" w:cs="Arial" w:eastAsia="Arial" w:hAnsi="Arial"/>
          <w:b/>
          <w:bCs/>
          <w:sz w:val="28"/>
          <w:szCs w:val="28"/>
        </w:rPr>
        <w:t xml:space="preserve">11. Fidelity Procedures</w:t>
      </w:r>
    </w:p>
    <w:p>
      <w:pPr>
        <w:spacing w:after="80" w:before="60"/>
      </w:pPr>
      <w:r>
        <w:rPr>
          <w:rFonts w:ascii="Arial" w:cs="Arial" w:eastAsia="Arial" w:hAnsi="Arial"/>
          <w:i w:val="false"/>
          <w:iCs w:val="false"/>
          <w:sz w:val="20"/>
          <w:szCs w:val="20"/>
        </w:rPr>
        <w:t xml:space="preserve">To ensure implementation fidelity across sessions and groups, the following procedures were in place:</w:t>
      </w:r>
    </w:p>
    <w:p>
      <w:pPr>
        <w:pStyle w:val="ListParagraph"/>
        <w:numPr>
          <w:ilvl w:val="0"/>
          <w:numId w:val="2"/>
        </w:numPr>
        <w:spacing w:after="40" w:before="40"/>
      </w:pPr>
      <w:r>
        <w:rPr>
          <w:rFonts w:ascii="Arial" w:cs="Arial" w:eastAsia="Arial" w:hAnsi="Arial"/>
          <w:sz w:val="20"/>
          <w:szCs w:val="20"/>
        </w:rPr>
        <w:t xml:space="preserve">Facilitator training: all facilitators attended a pre-study training session prior to commencement of the intervention.</w:t>
      </w:r>
    </w:p>
    <w:p>
      <w:pPr>
        <w:pStyle w:val="ListParagraph"/>
        <w:numPr>
          <w:ilvl w:val="0"/>
          <w:numId w:val="2"/>
        </w:numPr>
        <w:spacing w:after="40" w:before="40"/>
      </w:pPr>
      <w:r>
        <w:rPr>
          <w:rFonts w:ascii="Arial" w:cs="Arial" w:eastAsia="Arial" w:hAnsi="Arial"/>
          <w:sz w:val="20"/>
          <w:szCs w:val="20"/>
        </w:rPr>
        <w:t xml:space="preserve">Standardized facilitation guide: a written guide outlining the session structure, timing allocations, and interaction protocol was provided to each facilitator.</w:t>
      </w:r>
    </w:p>
    <w:p>
      <w:pPr>
        <w:pStyle w:val="ListParagraph"/>
        <w:numPr>
          <w:ilvl w:val="0"/>
          <w:numId w:val="2"/>
        </w:numPr>
        <w:spacing w:after="40" w:before="40"/>
      </w:pPr>
      <w:r>
        <w:rPr>
          <w:rFonts w:ascii="Arial" w:cs="Arial" w:eastAsia="Arial" w:hAnsi="Arial"/>
          <w:sz w:val="20"/>
          <w:szCs w:val="20"/>
        </w:rPr>
        <w:t xml:space="preserve">Calibration meeting: a calibration meeting was held before the first session to reinforce the facilitation protocol and address procedural questions.</w:t>
      </w:r>
    </w:p>
    <w:p>
      <w:pPr>
        <w:pStyle w:val="ListParagraph"/>
        <w:numPr>
          <w:ilvl w:val="0"/>
          <w:numId w:val="2"/>
        </w:numPr>
        <w:spacing w:after="40" w:before="40"/>
      </w:pPr>
      <w:r>
        <w:rPr>
          <w:rFonts w:ascii="Arial" w:cs="Arial" w:eastAsia="Arial" w:hAnsi="Arial"/>
          <w:sz w:val="20"/>
          <w:szCs w:val="20"/>
        </w:rPr>
        <w:t xml:space="preserve">Timing control: structured time allocations for each phase (expert group, home group teaching, case integration) were specified and monitored by facilitators.</w:t>
      </w:r>
    </w:p>
    <w:p>
      <w:pPr>
        <w:pStyle w:val="ListParagraph"/>
        <w:numPr>
          <w:ilvl w:val="0"/>
          <w:numId w:val="2"/>
        </w:numPr>
        <w:spacing w:after="40" w:before="40"/>
      </w:pPr>
      <w:r>
        <w:rPr>
          <w:rFonts w:ascii="Arial" w:cs="Arial" w:eastAsia="Arial" w:hAnsi="Arial"/>
          <w:sz w:val="20"/>
          <w:szCs w:val="20"/>
        </w:rPr>
        <w:t xml:space="preserve">Process monitoring: facilitators recorded field notes on session adherence to the protocol.</w:t>
      </w:r>
    </w:p>
    <w:p>
      <w:pPr>
        <w:pStyle w:val="ListParagraph"/>
        <w:numPr>
          <w:ilvl w:val="0"/>
          <w:numId w:val="2"/>
        </w:numPr>
        <w:spacing w:after="40" w:before="40"/>
      </w:pPr>
      <w:r>
        <w:rPr>
          <w:rFonts w:ascii="Arial" w:cs="Arial" w:eastAsia="Arial" w:hAnsi="Arial"/>
          <w:sz w:val="20"/>
          <w:szCs w:val="20"/>
        </w:rPr>
        <w:t xml:space="preserve">Consistency of materials: identical learning materials were used across all groups and sessions.</w:t>
      </w:r>
    </w:p>
    <w:p>
      <w:pPr>
        <w:spacing w:after="60" w:before="60"/>
      </w:pPr>
      <w:r>
        <w:t xml:space="preserve"/>
      </w:r>
    </w:p>
    <w:p>
      <w:pPr>
        <w:pStyle w:val="Heading1"/>
        <w:spacing w:after="180" w:before="360"/>
      </w:pPr>
      <w:r>
        <w:rPr>
          <w:rFonts w:ascii="Arial" w:cs="Arial" w:eastAsia="Arial" w:hAnsi="Arial"/>
          <w:b/>
          <w:bCs/>
          <w:sz w:val="28"/>
          <w:szCs w:val="28"/>
        </w:rPr>
        <w:t xml:space="preserve">12. Session Summary Table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2100"/>
        <w:gridCol w:w="2200"/>
        <w:gridCol w:w="2060"/>
        <w:gridCol w:w="1600"/>
      </w:tblGrid>
      <w:tr>
        <w:trPr>
          <w:tblHeader/>
        </w:trPr>
        <w:tc>
          <w:tcPr>
            <w:tcW w:type="dxa" w:w="14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Session</w:t>
            </w:r>
          </w:p>
        </w:tc>
        <w:tc>
          <w:tcPr>
            <w:tcW w:type="dxa" w:w="21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Topic / Domain Emphasis</w:t>
            </w:r>
          </w:p>
        </w:tc>
        <w:tc>
          <w:tcPr>
            <w:tcW w:type="dxa" w:w="22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Learning Activity</w:t>
            </w:r>
          </w:p>
        </w:tc>
        <w:tc>
          <w:tcPr>
            <w:tcW w:type="dxa" w:w="206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Expected Student Output</w:t>
            </w:r>
          </w:p>
        </w:tc>
        <w:tc>
          <w:tcPr>
            <w:tcW w:type="dxa" w:w="16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Duration</w:t>
            </w:r>
          </w:p>
        </w:tc>
      </w:tr>
      <w:tr>
        <w:tc>
          <w:tcPr>
            <w:tcW w:type="dxa" w:w="1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1</w:t>
            </w:r>
          </w:p>
        </w:tc>
        <w:tc>
          <w:tcPr>
            <w:tcW w:type="dxa" w:w="21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Caries risk assessment</w:t>
            </w:r>
          </w:p>
        </w:tc>
        <w:tc>
          <w:tcPr>
            <w:tcW w:type="dxa" w:w="22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Expert group study; peer teaching in home group</w:t>
            </w:r>
          </w:p>
        </w:tc>
        <w:tc>
          <w:tcPr>
            <w:tcW w:type="dxa" w:w="20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Completed risk stratification for standardized case</w:t>
            </w:r>
          </w:p>
        </w:tc>
        <w:tc>
          <w:tcPr>
            <w:tcW w:type="dxa" w:w="16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60 min</w:t>
            </w:r>
          </w:p>
        </w:tc>
      </w:tr>
      <w:tr>
        <w:tc>
          <w:tcPr>
            <w:tcW w:type="dxa" w:w="14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2</w:t>
            </w:r>
          </w:p>
        </w:tc>
        <w:tc>
          <w:tcPr>
            <w:tcW w:type="dxa" w:w="21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Preventive strategies and minimally invasive treatment planning</w:t>
            </w:r>
          </w:p>
        </w:tc>
        <w:tc>
          <w:tcPr>
            <w:tcW w:type="dxa" w:w="22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Expert group study; peer teaching in home group</w:t>
            </w:r>
          </w:p>
        </w:tc>
        <w:tc>
          <w:tcPr>
            <w:tcW w:type="dxa" w:w="20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Preventive care plan integrated with treatment priorities</w:t>
            </w:r>
          </w:p>
        </w:tc>
        <w:tc>
          <w:tcPr>
            <w:tcW w:type="dxa" w:w="16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60 min</w:t>
            </w:r>
          </w:p>
        </w:tc>
      </w:tr>
      <w:tr>
        <w:tc>
          <w:tcPr>
            <w:tcW w:type="dxa" w:w="1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3</w:t>
            </w:r>
          </w:p>
        </w:tc>
        <w:tc>
          <w:tcPr>
            <w:tcW w:type="dxa" w:w="21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Behavior guidance</w:t>
            </w:r>
          </w:p>
        </w:tc>
        <w:tc>
          <w:tcPr>
            <w:tcW w:type="dxa" w:w="22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Expert group study; peer teaching in home group</w:t>
            </w:r>
          </w:p>
        </w:tc>
        <w:tc>
          <w:tcPr>
            <w:tcW w:type="dxa" w:w="20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Behavior guidance approach selected and justified for case</w:t>
            </w:r>
          </w:p>
        </w:tc>
        <w:tc>
          <w:tcPr>
            <w:tcW w:type="dxa" w:w="16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60 min</w:t>
            </w:r>
          </w:p>
        </w:tc>
      </w:tr>
      <w:tr>
        <w:tc>
          <w:tcPr>
            <w:tcW w:type="dxa" w:w="14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4</w:t>
            </w:r>
          </w:p>
        </w:tc>
        <w:tc>
          <w:tcPr>
            <w:tcW w:type="dxa" w:w="21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Communication with parents</w:t>
            </w:r>
          </w:p>
        </w:tc>
        <w:tc>
          <w:tcPr>
            <w:tcW w:type="dxa" w:w="22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Expert group study; peer teaching in home group; full case integration</w:t>
            </w:r>
          </w:p>
        </w:tc>
        <w:tc>
          <w:tcPr>
            <w:tcW w:type="dxa" w:w="20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Complete diagnostic assessment and treatment plan presented for standardized pediatric case</w:t>
            </w:r>
          </w:p>
        </w:tc>
        <w:tc>
          <w:tcPr>
            <w:tcW w:type="dxa" w:w="16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60 min</w:t>
            </w:r>
          </w:p>
        </w:tc>
      </w:tr>
    </w:tbl>
    <w:p>
      <w:pPr>
        <w:spacing w:after="60" w:before="60"/>
      </w:pPr>
      <w:r>
        <w:t xml:space="preserve"/>
      </w:r>
    </w:p>
    <w:sectPr>
      <w:pgSz w:w="12240" w:h="15840"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1F3864"/>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2E75B6"/>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2026-05-28T14:23:36.375Z</dcterms:created>
  <dcterms:modified xsi:type="dcterms:W3CDTF">2026-05-28T14:23:36.376Z</dcterms:modified>
</cp:coreProperties>
</file>

<file path=docProps/custom.xml><?xml version="1.0" encoding="utf-8"?>
<Properties xmlns="http://schemas.openxmlformats.org/officeDocument/2006/custom-properties" xmlns:vt="http://schemas.openxmlformats.org/officeDocument/2006/docPropsVTypes"/>
</file>