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2273" w14:textId="09AD2714" w:rsidR="005776ED" w:rsidRPr="005776ED" w:rsidRDefault="005776ED" w:rsidP="005776ED">
      <w:pPr>
        <w:pStyle w:val="Heading1"/>
        <w:spacing w:line="276" w:lineRule="auto"/>
        <w:jc w:val="center"/>
        <w:rPr>
          <w:rFonts w:cstheme="majorHAnsi"/>
          <w:b/>
          <w:bCs/>
          <w:color w:val="auto"/>
        </w:rPr>
      </w:pPr>
      <w:r w:rsidRPr="005776ED">
        <w:rPr>
          <w:rFonts w:cstheme="majorHAnsi"/>
          <w:b/>
          <w:bCs/>
          <w:color w:val="auto"/>
        </w:rPr>
        <w:t>Supplementary Material 1</w:t>
      </w:r>
    </w:p>
    <w:p w14:paraId="60CA3B1C" w14:textId="15D29F10" w:rsidR="001A27E8" w:rsidRPr="005776ED" w:rsidRDefault="005776ED" w:rsidP="005776ED">
      <w:pPr>
        <w:pStyle w:val="Heading1"/>
        <w:spacing w:line="276" w:lineRule="auto"/>
        <w:rPr>
          <w:rFonts w:cstheme="majorHAnsi"/>
          <w:color w:val="auto"/>
          <w:sz w:val="28"/>
          <w:szCs w:val="28"/>
        </w:rPr>
      </w:pPr>
      <w:r w:rsidRPr="005776ED">
        <w:rPr>
          <w:rFonts w:cstheme="majorHAnsi"/>
          <w:color w:val="auto"/>
          <w:sz w:val="28"/>
          <w:szCs w:val="28"/>
        </w:rPr>
        <w:t xml:space="preserve">Topic guide: </w:t>
      </w:r>
      <w:r w:rsidRPr="005776ED">
        <w:rPr>
          <w:rFonts w:ascii="Calibri Light" w:hAnsi="Calibri Light" w:cs="Calibri Light"/>
          <w:color w:val="auto"/>
          <w:sz w:val="28"/>
          <w:szCs w:val="28"/>
          <w:lang w:val="en-US"/>
        </w:rPr>
        <w:t>Health data research and the public interest – a qualitative study of data access committees in New Zealand, Singapore, the UK and the US</w:t>
      </w:r>
    </w:p>
    <w:p w14:paraId="06535157" w14:textId="77777777" w:rsidR="005776ED" w:rsidRPr="005776ED" w:rsidRDefault="005776ED" w:rsidP="005776ED"/>
    <w:tbl>
      <w:tblPr>
        <w:tblStyle w:val="TableGrid"/>
        <w:tblW w:w="0" w:type="auto"/>
        <w:tblInd w:w="-113" w:type="dxa"/>
        <w:tblLook w:val="04A0" w:firstRow="1" w:lastRow="0" w:firstColumn="1" w:lastColumn="0" w:noHBand="0" w:noVBand="1"/>
      </w:tblPr>
      <w:tblGrid>
        <w:gridCol w:w="8075"/>
        <w:gridCol w:w="1054"/>
      </w:tblGrid>
      <w:tr w:rsidR="001A27E8" w:rsidRPr="007A01BC" w14:paraId="4E99777F" w14:textId="77777777" w:rsidTr="00FF43ED">
        <w:tc>
          <w:tcPr>
            <w:tcW w:w="9129" w:type="dxa"/>
            <w:gridSpan w:val="2"/>
            <w:shd w:val="clear" w:color="auto" w:fill="8EAADB" w:themeFill="accent1" w:themeFillTint="99"/>
          </w:tcPr>
          <w:p w14:paraId="40ACF8D4" w14:textId="77777777" w:rsidR="002119C6" w:rsidRDefault="002119C6" w:rsidP="005D22DE">
            <w:pPr>
              <w:pStyle w:val="Heading2"/>
              <w:rPr>
                <w:b/>
                <w:color w:val="auto"/>
              </w:rPr>
            </w:pPr>
          </w:p>
          <w:p w14:paraId="494A9DED" w14:textId="0A4CD5A6" w:rsidR="001A27E8" w:rsidRPr="005D22DE" w:rsidRDefault="001A27E8" w:rsidP="005D22DE">
            <w:pPr>
              <w:pStyle w:val="Heading2"/>
              <w:rPr>
                <w:b/>
              </w:rPr>
            </w:pPr>
            <w:r w:rsidRPr="005D22DE">
              <w:rPr>
                <w:b/>
                <w:color w:val="auto"/>
              </w:rPr>
              <w:t xml:space="preserve">Introduction </w:t>
            </w:r>
          </w:p>
        </w:tc>
      </w:tr>
      <w:tr w:rsidR="001A27E8" w:rsidRPr="007A01BC" w14:paraId="65D13FEB" w14:textId="77777777" w:rsidTr="007A01BC">
        <w:tc>
          <w:tcPr>
            <w:tcW w:w="8075" w:type="dxa"/>
          </w:tcPr>
          <w:p w14:paraId="708A1A47" w14:textId="77777777" w:rsidR="001A27E8" w:rsidRPr="002D52E9" w:rsidRDefault="001A27E8" w:rsidP="007A01BC">
            <w:pPr>
              <w:spacing w:line="276" w:lineRule="auto"/>
              <w:rPr>
                <w:rFonts w:asciiTheme="majorHAnsi" w:hAnsiTheme="majorHAnsi" w:cstheme="majorHAnsi"/>
              </w:rPr>
            </w:pPr>
          </w:p>
          <w:p w14:paraId="7D1EF925" w14:textId="77777777" w:rsidR="001A27E8" w:rsidRPr="002D52E9" w:rsidRDefault="001A27E8" w:rsidP="00982C50">
            <w:pPr>
              <w:pStyle w:val="ListParagraph"/>
              <w:numPr>
                <w:ilvl w:val="0"/>
                <w:numId w:val="4"/>
              </w:numPr>
              <w:spacing w:line="276" w:lineRule="auto"/>
              <w:rPr>
                <w:rFonts w:asciiTheme="majorHAnsi" w:hAnsiTheme="majorHAnsi" w:cstheme="majorHAnsi"/>
                <w:b/>
              </w:rPr>
            </w:pPr>
            <w:r w:rsidRPr="002D52E9">
              <w:rPr>
                <w:rFonts w:asciiTheme="majorHAnsi" w:hAnsiTheme="majorHAnsi" w:cstheme="majorHAnsi"/>
                <w:b/>
              </w:rPr>
              <w:t xml:space="preserve">Explaining the purpose of the interview </w:t>
            </w:r>
          </w:p>
          <w:p w14:paraId="6DD667AD" w14:textId="0BD8090B" w:rsidR="004F782D" w:rsidRPr="002D52E9" w:rsidRDefault="001A27E8" w:rsidP="007A01BC">
            <w:pPr>
              <w:spacing w:line="276" w:lineRule="auto"/>
              <w:rPr>
                <w:rFonts w:asciiTheme="majorHAnsi" w:hAnsiTheme="majorHAnsi" w:cstheme="majorHAnsi"/>
                <w:i/>
              </w:rPr>
            </w:pPr>
            <w:r w:rsidRPr="002D52E9">
              <w:rPr>
                <w:rFonts w:asciiTheme="majorHAnsi" w:hAnsiTheme="majorHAnsi" w:cstheme="majorHAnsi"/>
                <w:i/>
              </w:rPr>
              <w:t xml:space="preserve">“Thank you for participating in our </w:t>
            </w:r>
            <w:r w:rsidR="00881020">
              <w:rPr>
                <w:rFonts w:asciiTheme="majorHAnsi" w:hAnsiTheme="majorHAnsi" w:cstheme="majorHAnsi"/>
                <w:i/>
              </w:rPr>
              <w:t>research</w:t>
            </w:r>
            <w:r w:rsidRPr="002D52E9">
              <w:rPr>
                <w:rFonts w:asciiTheme="majorHAnsi" w:hAnsiTheme="majorHAnsi" w:cstheme="majorHAnsi"/>
                <w:i/>
              </w:rPr>
              <w:t xml:space="preserve">. The aim of this project is to gain insights into practices of reviewing </w:t>
            </w:r>
            <w:r w:rsidR="00903AE1">
              <w:rPr>
                <w:rFonts w:asciiTheme="majorHAnsi" w:hAnsiTheme="majorHAnsi" w:cstheme="majorHAnsi"/>
                <w:i/>
              </w:rPr>
              <w:t>whether requests to use data stored on a government funded platform</w:t>
            </w:r>
            <w:r w:rsidRPr="002D52E9">
              <w:rPr>
                <w:rFonts w:asciiTheme="majorHAnsi" w:hAnsiTheme="majorHAnsi" w:cstheme="majorHAnsi"/>
                <w:i/>
              </w:rPr>
              <w:t xml:space="preserve"> </w:t>
            </w:r>
            <w:r w:rsidR="00903AE1">
              <w:rPr>
                <w:rFonts w:asciiTheme="majorHAnsi" w:hAnsiTheme="majorHAnsi" w:cstheme="majorHAnsi"/>
                <w:i/>
              </w:rPr>
              <w:t>are in the public interest (i.e. applying the public interest criterion),</w:t>
            </w:r>
            <w:r w:rsidRPr="002D52E9">
              <w:rPr>
                <w:rFonts w:asciiTheme="majorHAnsi" w:hAnsiTheme="majorHAnsi" w:cstheme="majorHAnsi"/>
                <w:i/>
              </w:rPr>
              <w:t xml:space="preserve"> </w:t>
            </w:r>
            <w:r w:rsidR="00407B7D" w:rsidRPr="002D52E9">
              <w:rPr>
                <w:rFonts w:asciiTheme="majorHAnsi" w:hAnsiTheme="majorHAnsi" w:cstheme="majorHAnsi"/>
                <w:i/>
              </w:rPr>
              <w:t xml:space="preserve">and </w:t>
            </w:r>
            <w:r w:rsidR="004F782D" w:rsidRPr="002D52E9">
              <w:rPr>
                <w:rFonts w:asciiTheme="majorHAnsi" w:hAnsiTheme="majorHAnsi" w:cstheme="majorHAnsi"/>
                <w:i/>
              </w:rPr>
              <w:t xml:space="preserve">the </w:t>
            </w:r>
            <w:r w:rsidR="00407B7D" w:rsidRPr="002D52E9">
              <w:rPr>
                <w:rFonts w:asciiTheme="majorHAnsi" w:hAnsiTheme="majorHAnsi" w:cstheme="majorHAnsi"/>
                <w:i/>
              </w:rPr>
              <w:t>considerations underlying those practices</w:t>
            </w:r>
            <w:r w:rsidRPr="002D52E9">
              <w:rPr>
                <w:rFonts w:asciiTheme="majorHAnsi" w:hAnsiTheme="majorHAnsi" w:cstheme="majorHAnsi"/>
                <w:i/>
              </w:rPr>
              <w:t xml:space="preserve">. </w:t>
            </w:r>
          </w:p>
          <w:p w14:paraId="67CB4EDC" w14:textId="77777777" w:rsidR="004F782D" w:rsidRPr="002D52E9" w:rsidRDefault="004F782D" w:rsidP="007A01BC">
            <w:pPr>
              <w:spacing w:line="276" w:lineRule="auto"/>
              <w:rPr>
                <w:rFonts w:asciiTheme="majorHAnsi" w:hAnsiTheme="majorHAnsi" w:cstheme="majorHAnsi"/>
                <w:i/>
              </w:rPr>
            </w:pPr>
          </w:p>
          <w:p w14:paraId="2848FB40" w14:textId="3003E5F7" w:rsidR="001A27E8" w:rsidRPr="002D52E9" w:rsidRDefault="001A27E8" w:rsidP="007A01BC">
            <w:pPr>
              <w:spacing w:line="276" w:lineRule="auto"/>
              <w:rPr>
                <w:rFonts w:asciiTheme="majorHAnsi" w:hAnsiTheme="majorHAnsi" w:cstheme="majorHAnsi"/>
                <w:i/>
              </w:rPr>
            </w:pPr>
            <w:r w:rsidRPr="002D52E9">
              <w:rPr>
                <w:rFonts w:asciiTheme="majorHAnsi" w:hAnsiTheme="majorHAnsi" w:cstheme="majorHAnsi"/>
                <w:i/>
              </w:rPr>
              <w:t xml:space="preserve">We are interviewing people who are part of committees or </w:t>
            </w:r>
            <w:r w:rsidR="004F782D" w:rsidRPr="002D52E9">
              <w:rPr>
                <w:rFonts w:asciiTheme="majorHAnsi" w:hAnsiTheme="majorHAnsi" w:cstheme="majorHAnsi"/>
                <w:i/>
              </w:rPr>
              <w:t xml:space="preserve">on </w:t>
            </w:r>
            <w:r w:rsidRPr="002D52E9">
              <w:rPr>
                <w:rFonts w:asciiTheme="majorHAnsi" w:hAnsiTheme="majorHAnsi" w:cstheme="majorHAnsi"/>
                <w:i/>
              </w:rPr>
              <w:t xml:space="preserve">boards that are tasked with </w:t>
            </w:r>
            <w:r w:rsidR="00F40785" w:rsidRPr="002D52E9">
              <w:rPr>
                <w:rFonts w:asciiTheme="majorHAnsi" w:hAnsiTheme="majorHAnsi" w:cstheme="majorHAnsi"/>
                <w:i/>
              </w:rPr>
              <w:t>applying the public interest criterion</w:t>
            </w:r>
            <w:r w:rsidR="00407B7D" w:rsidRPr="002D52E9">
              <w:rPr>
                <w:rFonts w:asciiTheme="majorHAnsi" w:hAnsiTheme="majorHAnsi" w:cstheme="majorHAnsi"/>
                <w:i/>
              </w:rPr>
              <w:t>. We are interviewing individuals working</w:t>
            </w:r>
            <w:r w:rsidRPr="002D52E9">
              <w:rPr>
                <w:rFonts w:asciiTheme="majorHAnsi" w:hAnsiTheme="majorHAnsi" w:cstheme="majorHAnsi"/>
                <w:i/>
              </w:rPr>
              <w:t xml:space="preserve"> in</w:t>
            </w:r>
            <w:r w:rsidR="000B319C">
              <w:rPr>
                <w:rFonts w:asciiTheme="majorHAnsi" w:hAnsiTheme="majorHAnsi" w:cstheme="majorHAnsi"/>
                <w:i/>
              </w:rPr>
              <w:t xml:space="preserve"> </w:t>
            </w:r>
            <w:r w:rsidR="00DF3229">
              <w:rPr>
                <w:rFonts w:asciiTheme="majorHAnsi" w:hAnsiTheme="majorHAnsi" w:cstheme="majorHAnsi"/>
                <w:i/>
              </w:rPr>
              <w:t xml:space="preserve">Australia, </w:t>
            </w:r>
            <w:r w:rsidR="00280E46" w:rsidRPr="002D52E9">
              <w:rPr>
                <w:rFonts w:asciiTheme="majorHAnsi" w:hAnsiTheme="majorHAnsi" w:cstheme="majorHAnsi"/>
                <w:i/>
              </w:rPr>
              <w:t>New Zealand</w:t>
            </w:r>
            <w:r w:rsidR="00280E46">
              <w:rPr>
                <w:rFonts w:asciiTheme="majorHAnsi" w:hAnsiTheme="majorHAnsi" w:cstheme="majorHAnsi"/>
                <w:i/>
              </w:rPr>
              <w:t xml:space="preserve">, </w:t>
            </w:r>
            <w:r w:rsidRPr="002D52E9">
              <w:rPr>
                <w:rFonts w:asciiTheme="majorHAnsi" w:hAnsiTheme="majorHAnsi" w:cstheme="majorHAnsi"/>
                <w:i/>
              </w:rPr>
              <w:t xml:space="preserve">Singapore, </w:t>
            </w:r>
            <w:r w:rsidR="00280E46">
              <w:rPr>
                <w:rFonts w:asciiTheme="majorHAnsi" w:hAnsiTheme="majorHAnsi" w:cstheme="majorHAnsi"/>
                <w:i/>
              </w:rPr>
              <w:t>the UK</w:t>
            </w:r>
            <w:r w:rsidRPr="002D52E9">
              <w:rPr>
                <w:rFonts w:asciiTheme="majorHAnsi" w:hAnsiTheme="majorHAnsi" w:cstheme="majorHAnsi"/>
                <w:i/>
              </w:rPr>
              <w:t xml:space="preserve"> </w:t>
            </w:r>
            <w:r w:rsidR="00516AE7">
              <w:rPr>
                <w:rFonts w:asciiTheme="majorHAnsi" w:hAnsiTheme="majorHAnsi" w:cstheme="majorHAnsi"/>
                <w:i/>
              </w:rPr>
              <w:t>or</w:t>
            </w:r>
            <w:r w:rsidRPr="002D52E9">
              <w:rPr>
                <w:rFonts w:asciiTheme="majorHAnsi" w:hAnsiTheme="majorHAnsi" w:cstheme="majorHAnsi"/>
                <w:i/>
              </w:rPr>
              <w:t xml:space="preserve"> the U</w:t>
            </w:r>
            <w:r w:rsidR="00280E46">
              <w:rPr>
                <w:rFonts w:asciiTheme="majorHAnsi" w:hAnsiTheme="majorHAnsi" w:cstheme="majorHAnsi"/>
                <w:i/>
              </w:rPr>
              <w:t>S</w:t>
            </w:r>
            <w:r w:rsidRPr="002D52E9">
              <w:rPr>
                <w:rFonts w:asciiTheme="majorHAnsi" w:hAnsiTheme="majorHAnsi" w:cstheme="majorHAnsi"/>
                <w:i/>
              </w:rPr>
              <w:t xml:space="preserve">. The results of these interviews will </w:t>
            </w:r>
            <w:r w:rsidR="00407B7D" w:rsidRPr="002D52E9">
              <w:rPr>
                <w:rFonts w:asciiTheme="majorHAnsi" w:hAnsiTheme="majorHAnsi" w:cstheme="majorHAnsi"/>
                <w:i/>
              </w:rPr>
              <w:t>serve as</w:t>
            </w:r>
            <w:r w:rsidRPr="002D52E9">
              <w:rPr>
                <w:rFonts w:asciiTheme="majorHAnsi" w:hAnsiTheme="majorHAnsi" w:cstheme="majorHAnsi"/>
                <w:i/>
              </w:rPr>
              <w:t xml:space="preserve"> input </w:t>
            </w:r>
            <w:r w:rsidR="00407B7D" w:rsidRPr="002D52E9">
              <w:rPr>
                <w:rFonts w:asciiTheme="majorHAnsi" w:hAnsiTheme="majorHAnsi" w:cstheme="majorHAnsi"/>
                <w:i/>
              </w:rPr>
              <w:t>for</w:t>
            </w:r>
            <w:r w:rsidRPr="002D52E9">
              <w:rPr>
                <w:rFonts w:asciiTheme="majorHAnsi" w:hAnsiTheme="majorHAnsi" w:cstheme="majorHAnsi"/>
                <w:i/>
              </w:rPr>
              <w:t xml:space="preserve"> recommendations </w:t>
            </w:r>
            <w:r w:rsidR="00407B7D" w:rsidRPr="002D52E9">
              <w:rPr>
                <w:rFonts w:asciiTheme="majorHAnsi" w:hAnsiTheme="majorHAnsi" w:cstheme="majorHAnsi"/>
                <w:i/>
              </w:rPr>
              <w:t>on</w:t>
            </w:r>
            <w:r w:rsidRPr="002D52E9">
              <w:rPr>
                <w:rFonts w:asciiTheme="majorHAnsi" w:hAnsiTheme="majorHAnsi" w:cstheme="majorHAnsi"/>
                <w:i/>
              </w:rPr>
              <w:t xml:space="preserve"> how to </w:t>
            </w:r>
            <w:r w:rsidR="00F40785" w:rsidRPr="002D52E9">
              <w:rPr>
                <w:rFonts w:asciiTheme="majorHAnsi" w:hAnsiTheme="majorHAnsi" w:cstheme="majorHAnsi"/>
                <w:i/>
              </w:rPr>
              <w:t>apply the public interest criterion</w:t>
            </w:r>
            <w:r w:rsidR="00C64913">
              <w:rPr>
                <w:rFonts w:asciiTheme="majorHAnsi" w:hAnsiTheme="majorHAnsi" w:cstheme="majorHAnsi"/>
                <w:i/>
              </w:rPr>
              <w:t xml:space="preserve"> in practice</w:t>
            </w:r>
            <w:r w:rsidR="00407B7D" w:rsidRPr="002D52E9">
              <w:rPr>
                <w:rFonts w:asciiTheme="majorHAnsi" w:hAnsiTheme="majorHAnsi" w:cstheme="majorHAnsi"/>
                <w:i/>
              </w:rPr>
              <w:t xml:space="preserve">. They are also </w:t>
            </w:r>
            <w:r w:rsidRPr="002D52E9">
              <w:rPr>
                <w:rFonts w:asciiTheme="majorHAnsi" w:hAnsiTheme="majorHAnsi" w:cstheme="majorHAnsi"/>
                <w:i/>
              </w:rPr>
              <w:t xml:space="preserve">planned to be </w:t>
            </w:r>
            <w:r w:rsidR="00407B7D" w:rsidRPr="002D52E9">
              <w:rPr>
                <w:rFonts w:asciiTheme="majorHAnsi" w:hAnsiTheme="majorHAnsi" w:cstheme="majorHAnsi"/>
                <w:i/>
              </w:rPr>
              <w:t>published in an academic journal</w:t>
            </w:r>
            <w:r w:rsidRPr="002D52E9">
              <w:rPr>
                <w:rFonts w:asciiTheme="majorHAnsi" w:hAnsiTheme="majorHAnsi" w:cstheme="majorHAnsi"/>
                <w:i/>
              </w:rPr>
              <w:t xml:space="preserve">. </w:t>
            </w:r>
          </w:p>
          <w:p w14:paraId="12DB9501" w14:textId="77777777" w:rsidR="001A27E8" w:rsidRPr="002D52E9" w:rsidRDefault="001A27E8" w:rsidP="007A01BC">
            <w:pPr>
              <w:spacing w:line="276" w:lineRule="auto"/>
              <w:rPr>
                <w:rFonts w:asciiTheme="majorHAnsi" w:hAnsiTheme="majorHAnsi" w:cstheme="majorHAnsi"/>
                <w:i/>
              </w:rPr>
            </w:pPr>
          </w:p>
          <w:p w14:paraId="47EAC75D" w14:textId="253561DD" w:rsidR="00F40785" w:rsidRPr="002D52E9" w:rsidRDefault="00F40785" w:rsidP="007A01BC">
            <w:pPr>
              <w:spacing w:line="276" w:lineRule="auto"/>
              <w:rPr>
                <w:rFonts w:asciiTheme="majorHAnsi" w:hAnsiTheme="majorHAnsi" w:cstheme="majorHAnsi"/>
                <w:i/>
              </w:rPr>
            </w:pPr>
            <w:r w:rsidRPr="002D52E9">
              <w:rPr>
                <w:rFonts w:asciiTheme="majorHAnsi" w:hAnsiTheme="majorHAnsi" w:cstheme="majorHAnsi"/>
                <w:i/>
              </w:rPr>
              <w:t>I</w:t>
            </w:r>
            <w:r w:rsidR="001A27E8" w:rsidRPr="002D52E9">
              <w:rPr>
                <w:rFonts w:asciiTheme="majorHAnsi" w:hAnsiTheme="majorHAnsi" w:cstheme="majorHAnsi"/>
                <w:i/>
              </w:rPr>
              <w:t xml:space="preserve"> want to</w:t>
            </w:r>
            <w:r w:rsidRPr="002D52E9">
              <w:rPr>
                <w:rFonts w:asciiTheme="majorHAnsi" w:hAnsiTheme="majorHAnsi" w:cstheme="majorHAnsi"/>
                <w:i/>
              </w:rPr>
              <w:t xml:space="preserve"> ask for your permission to</w:t>
            </w:r>
            <w:r w:rsidR="001A27E8" w:rsidRPr="002D52E9">
              <w:rPr>
                <w:rFonts w:asciiTheme="majorHAnsi" w:hAnsiTheme="majorHAnsi" w:cstheme="majorHAnsi"/>
                <w:i/>
              </w:rPr>
              <w:t xml:space="preserve"> record the interview for analysis purpose</w:t>
            </w:r>
            <w:r w:rsidRPr="002D52E9">
              <w:rPr>
                <w:rFonts w:asciiTheme="majorHAnsi" w:hAnsiTheme="majorHAnsi" w:cstheme="majorHAnsi"/>
                <w:i/>
              </w:rPr>
              <w:t>s</w:t>
            </w:r>
            <w:r w:rsidR="001A27E8" w:rsidRPr="002D52E9">
              <w:rPr>
                <w:rFonts w:asciiTheme="majorHAnsi" w:hAnsiTheme="majorHAnsi" w:cstheme="majorHAnsi"/>
                <w:i/>
              </w:rPr>
              <w:t xml:space="preserve">. The recordings are for internal use only and will be deleted once we finish the analysis. </w:t>
            </w:r>
          </w:p>
          <w:p w14:paraId="6E1C964A" w14:textId="77777777" w:rsidR="00F40785" w:rsidRPr="002D52E9" w:rsidRDefault="00F40785" w:rsidP="007A01BC">
            <w:pPr>
              <w:spacing w:line="276" w:lineRule="auto"/>
              <w:rPr>
                <w:rFonts w:asciiTheme="majorHAnsi" w:hAnsiTheme="majorHAnsi" w:cstheme="majorHAnsi"/>
                <w:i/>
              </w:rPr>
            </w:pPr>
          </w:p>
          <w:p w14:paraId="0CEFF72C" w14:textId="737C0653" w:rsidR="001A27E8" w:rsidRPr="002D52E9" w:rsidRDefault="00560F97" w:rsidP="007A01BC">
            <w:pPr>
              <w:spacing w:line="276" w:lineRule="auto"/>
              <w:rPr>
                <w:rFonts w:asciiTheme="majorHAnsi" w:hAnsiTheme="majorHAnsi" w:cstheme="majorHAnsi"/>
                <w:i/>
              </w:rPr>
            </w:pPr>
            <w:r>
              <w:rPr>
                <w:rFonts w:asciiTheme="majorHAnsi" w:hAnsiTheme="majorHAnsi" w:cstheme="majorHAnsi"/>
                <w:i/>
              </w:rPr>
              <w:t>The</w:t>
            </w:r>
            <w:r w:rsidR="001A27E8" w:rsidRPr="002D52E9">
              <w:rPr>
                <w:rFonts w:asciiTheme="majorHAnsi" w:hAnsiTheme="majorHAnsi" w:cstheme="majorHAnsi"/>
                <w:i/>
              </w:rPr>
              <w:t xml:space="preserve"> </w:t>
            </w:r>
            <w:r w:rsidR="00881020">
              <w:rPr>
                <w:rFonts w:asciiTheme="majorHAnsi" w:hAnsiTheme="majorHAnsi" w:cstheme="majorHAnsi"/>
                <w:i/>
              </w:rPr>
              <w:t>transcript</w:t>
            </w:r>
            <w:r w:rsidR="001A27E8" w:rsidRPr="002D52E9">
              <w:rPr>
                <w:rFonts w:asciiTheme="majorHAnsi" w:hAnsiTheme="majorHAnsi" w:cstheme="majorHAnsi"/>
                <w:i/>
              </w:rPr>
              <w:t xml:space="preserve"> of this interview</w:t>
            </w:r>
            <w:r w:rsidR="00F40785" w:rsidRPr="002D52E9">
              <w:rPr>
                <w:rFonts w:asciiTheme="majorHAnsi" w:hAnsiTheme="majorHAnsi" w:cstheme="majorHAnsi"/>
                <w:i/>
              </w:rPr>
              <w:t xml:space="preserve"> and any quotes from the interview that might be used in a future publication</w:t>
            </w:r>
            <w:r>
              <w:rPr>
                <w:rFonts w:asciiTheme="majorHAnsi" w:hAnsiTheme="majorHAnsi" w:cstheme="majorHAnsi"/>
                <w:i/>
              </w:rPr>
              <w:t xml:space="preserve"> will be anonymized</w:t>
            </w:r>
            <w:r w:rsidR="001A27E8" w:rsidRPr="002D52E9">
              <w:rPr>
                <w:rFonts w:asciiTheme="majorHAnsi" w:hAnsiTheme="majorHAnsi" w:cstheme="majorHAnsi"/>
                <w:i/>
              </w:rPr>
              <w:t>.</w:t>
            </w:r>
            <w:r>
              <w:rPr>
                <w:rFonts w:asciiTheme="majorHAnsi" w:hAnsiTheme="majorHAnsi" w:cstheme="majorHAnsi"/>
                <w:i/>
              </w:rPr>
              <w:t xml:space="preserve"> </w:t>
            </w:r>
            <w:r w:rsidR="001A27E8" w:rsidRPr="002D52E9">
              <w:rPr>
                <w:rFonts w:asciiTheme="majorHAnsi" w:hAnsiTheme="majorHAnsi" w:cstheme="majorHAnsi"/>
                <w:i/>
              </w:rPr>
              <w:t xml:space="preserve">Please feel free to </w:t>
            </w:r>
            <w:r w:rsidR="003D50CE" w:rsidRPr="002D52E9">
              <w:rPr>
                <w:rFonts w:asciiTheme="majorHAnsi" w:hAnsiTheme="majorHAnsi" w:cstheme="majorHAnsi"/>
                <w:i/>
              </w:rPr>
              <w:t>let me know</w:t>
            </w:r>
            <w:r w:rsidR="001A27E8" w:rsidRPr="002D52E9">
              <w:rPr>
                <w:rFonts w:asciiTheme="majorHAnsi" w:hAnsiTheme="majorHAnsi" w:cstheme="majorHAnsi"/>
                <w:i/>
              </w:rPr>
              <w:t xml:space="preserve"> if you do not want to</w:t>
            </w:r>
            <w:r w:rsidR="003D50CE" w:rsidRPr="002D52E9">
              <w:rPr>
                <w:rFonts w:asciiTheme="majorHAnsi" w:hAnsiTheme="majorHAnsi" w:cstheme="majorHAnsi"/>
                <w:i/>
              </w:rPr>
              <w:t xml:space="preserve"> answer a question</w:t>
            </w:r>
            <w:r w:rsidR="001A27E8" w:rsidRPr="002D52E9">
              <w:rPr>
                <w:rFonts w:asciiTheme="majorHAnsi" w:hAnsiTheme="majorHAnsi" w:cstheme="majorHAnsi"/>
                <w:i/>
              </w:rPr>
              <w:t xml:space="preserve">, </w:t>
            </w:r>
            <w:r w:rsidR="00F40785" w:rsidRPr="002D52E9">
              <w:rPr>
                <w:rFonts w:asciiTheme="majorHAnsi" w:hAnsiTheme="majorHAnsi" w:cstheme="majorHAnsi"/>
                <w:i/>
              </w:rPr>
              <w:t>have any questions for me or want</w:t>
            </w:r>
            <w:r w:rsidR="001A27E8" w:rsidRPr="002D52E9">
              <w:rPr>
                <w:rFonts w:asciiTheme="majorHAnsi" w:hAnsiTheme="majorHAnsi" w:cstheme="majorHAnsi"/>
                <w:i/>
              </w:rPr>
              <w:t xml:space="preserve"> to end the interview </w:t>
            </w:r>
            <w:r w:rsidR="00F40785" w:rsidRPr="002D52E9">
              <w:rPr>
                <w:rFonts w:asciiTheme="majorHAnsi" w:hAnsiTheme="majorHAnsi" w:cstheme="majorHAnsi"/>
                <w:i/>
              </w:rPr>
              <w:t>early</w:t>
            </w:r>
            <w:r w:rsidR="001A27E8" w:rsidRPr="002D52E9">
              <w:rPr>
                <w:rFonts w:asciiTheme="majorHAnsi" w:hAnsiTheme="majorHAnsi" w:cstheme="majorHAnsi"/>
                <w:i/>
              </w:rPr>
              <w:t>.”</w:t>
            </w:r>
          </w:p>
          <w:p w14:paraId="6CEA021D" w14:textId="77777777" w:rsidR="001A27E8" w:rsidRPr="002D52E9" w:rsidRDefault="001A27E8" w:rsidP="007A01BC">
            <w:pPr>
              <w:spacing w:line="276" w:lineRule="auto"/>
              <w:rPr>
                <w:rFonts w:asciiTheme="majorHAnsi" w:hAnsiTheme="majorHAnsi" w:cstheme="majorHAnsi"/>
                <w:i/>
              </w:rPr>
            </w:pPr>
          </w:p>
          <w:p w14:paraId="685FF60A" w14:textId="4915E9DC" w:rsidR="001A27E8" w:rsidRPr="002D52E9" w:rsidRDefault="001A27E8" w:rsidP="007A01BC">
            <w:pPr>
              <w:pStyle w:val="ListParagraph"/>
              <w:numPr>
                <w:ilvl w:val="0"/>
                <w:numId w:val="4"/>
              </w:numPr>
              <w:spacing w:line="276" w:lineRule="auto"/>
              <w:rPr>
                <w:rFonts w:asciiTheme="majorHAnsi" w:hAnsiTheme="majorHAnsi" w:cstheme="majorHAnsi"/>
              </w:rPr>
            </w:pPr>
            <w:r w:rsidRPr="002D52E9">
              <w:rPr>
                <w:rFonts w:asciiTheme="majorHAnsi" w:hAnsiTheme="majorHAnsi" w:cstheme="majorHAnsi"/>
              </w:rPr>
              <w:t xml:space="preserve">Discuss with interviewees if they have any questions </w:t>
            </w:r>
            <w:r w:rsidR="003D50CE" w:rsidRPr="002D52E9">
              <w:rPr>
                <w:rFonts w:asciiTheme="majorHAnsi" w:hAnsiTheme="majorHAnsi" w:cstheme="majorHAnsi"/>
              </w:rPr>
              <w:t xml:space="preserve">or comments </w:t>
            </w:r>
            <w:r w:rsidRPr="002D52E9">
              <w:rPr>
                <w:rFonts w:asciiTheme="majorHAnsi" w:hAnsiTheme="majorHAnsi" w:cstheme="majorHAnsi"/>
              </w:rPr>
              <w:t xml:space="preserve">before the interview begins. </w:t>
            </w:r>
          </w:p>
          <w:p w14:paraId="446EBFDD" w14:textId="77777777" w:rsidR="001A27E8" w:rsidRPr="002D52E9" w:rsidRDefault="001A27E8" w:rsidP="007A01BC">
            <w:pPr>
              <w:spacing w:line="276" w:lineRule="auto"/>
              <w:rPr>
                <w:rFonts w:asciiTheme="majorHAnsi" w:hAnsiTheme="majorHAnsi" w:cstheme="majorHAnsi"/>
              </w:rPr>
            </w:pPr>
          </w:p>
        </w:tc>
        <w:tc>
          <w:tcPr>
            <w:tcW w:w="1054" w:type="dxa"/>
          </w:tcPr>
          <w:p w14:paraId="67C36024" w14:textId="77777777" w:rsidR="001A27E8" w:rsidRPr="007A01BC" w:rsidRDefault="001A27E8" w:rsidP="007A01BC">
            <w:pPr>
              <w:spacing w:line="276" w:lineRule="auto"/>
              <w:rPr>
                <w:rFonts w:asciiTheme="majorHAnsi" w:hAnsiTheme="majorHAnsi" w:cstheme="majorHAnsi"/>
              </w:rPr>
            </w:pPr>
          </w:p>
          <w:p w14:paraId="4D4C43A2" w14:textId="77777777" w:rsidR="001A27E8" w:rsidRPr="007A01BC" w:rsidRDefault="001A27E8" w:rsidP="007A01BC">
            <w:pPr>
              <w:spacing w:line="276" w:lineRule="auto"/>
              <w:rPr>
                <w:rFonts w:asciiTheme="majorHAnsi" w:hAnsiTheme="majorHAnsi" w:cstheme="majorHAnsi"/>
              </w:rPr>
            </w:pPr>
          </w:p>
          <w:p w14:paraId="01CB6FAD" w14:textId="77777777" w:rsidR="001A27E8" w:rsidRPr="007A01BC" w:rsidRDefault="001A27E8" w:rsidP="007A01BC">
            <w:pPr>
              <w:spacing w:line="276" w:lineRule="auto"/>
              <w:rPr>
                <w:rFonts w:asciiTheme="majorHAnsi" w:hAnsiTheme="majorHAnsi" w:cstheme="majorHAnsi"/>
              </w:rPr>
            </w:pPr>
          </w:p>
          <w:p w14:paraId="748800CF" w14:textId="77777777" w:rsidR="001A27E8" w:rsidRPr="007A01BC" w:rsidRDefault="001A27E8" w:rsidP="007A01BC">
            <w:pPr>
              <w:spacing w:line="276" w:lineRule="auto"/>
              <w:rPr>
                <w:rFonts w:asciiTheme="majorHAnsi" w:hAnsiTheme="majorHAnsi" w:cstheme="majorHAnsi"/>
              </w:rPr>
            </w:pPr>
          </w:p>
          <w:p w14:paraId="2093F18D" w14:textId="77777777" w:rsidR="001A27E8" w:rsidRPr="007A01BC" w:rsidRDefault="001A27E8" w:rsidP="007A01BC">
            <w:pPr>
              <w:spacing w:line="276" w:lineRule="auto"/>
              <w:rPr>
                <w:rFonts w:asciiTheme="majorHAnsi" w:hAnsiTheme="majorHAnsi" w:cstheme="majorHAnsi"/>
              </w:rPr>
            </w:pPr>
          </w:p>
          <w:p w14:paraId="66A66B70" w14:textId="77777777" w:rsidR="001A27E8" w:rsidRPr="007A01BC" w:rsidRDefault="001A27E8" w:rsidP="007A01BC">
            <w:pPr>
              <w:spacing w:line="276" w:lineRule="auto"/>
              <w:rPr>
                <w:rFonts w:asciiTheme="majorHAnsi" w:hAnsiTheme="majorHAnsi" w:cstheme="majorHAnsi"/>
              </w:rPr>
            </w:pPr>
          </w:p>
          <w:p w14:paraId="197490E4" w14:textId="77777777" w:rsidR="001A27E8" w:rsidRPr="007A01BC" w:rsidRDefault="001A27E8" w:rsidP="007A01BC">
            <w:pPr>
              <w:spacing w:line="276" w:lineRule="auto"/>
              <w:rPr>
                <w:rFonts w:asciiTheme="majorHAnsi" w:hAnsiTheme="majorHAnsi" w:cstheme="majorHAnsi"/>
              </w:rPr>
            </w:pPr>
          </w:p>
          <w:p w14:paraId="27E72F34" w14:textId="77777777" w:rsidR="001A27E8" w:rsidRPr="007A01BC" w:rsidRDefault="001A27E8" w:rsidP="007A01BC">
            <w:pPr>
              <w:spacing w:line="276" w:lineRule="auto"/>
              <w:rPr>
                <w:rFonts w:asciiTheme="majorHAnsi" w:hAnsiTheme="majorHAnsi" w:cstheme="majorHAnsi"/>
              </w:rPr>
            </w:pPr>
          </w:p>
          <w:p w14:paraId="6B0AB674" w14:textId="77777777" w:rsidR="001A27E8" w:rsidRPr="007A01BC" w:rsidRDefault="001A27E8" w:rsidP="007A01BC">
            <w:pPr>
              <w:spacing w:line="276" w:lineRule="auto"/>
              <w:rPr>
                <w:rFonts w:asciiTheme="majorHAnsi" w:hAnsiTheme="majorHAnsi" w:cstheme="majorHAnsi"/>
              </w:rPr>
            </w:pPr>
          </w:p>
          <w:p w14:paraId="150674CF" w14:textId="77777777" w:rsidR="001A27E8" w:rsidRPr="007A01BC" w:rsidRDefault="001A27E8" w:rsidP="007A01BC">
            <w:pPr>
              <w:spacing w:line="276" w:lineRule="auto"/>
              <w:rPr>
                <w:rFonts w:asciiTheme="majorHAnsi" w:hAnsiTheme="majorHAnsi" w:cstheme="majorHAnsi"/>
              </w:rPr>
            </w:pPr>
          </w:p>
          <w:p w14:paraId="2E78A7FC" w14:textId="77777777" w:rsidR="001A27E8" w:rsidRPr="007A01BC" w:rsidRDefault="001A27E8" w:rsidP="007A01BC">
            <w:pPr>
              <w:spacing w:line="276" w:lineRule="auto"/>
              <w:rPr>
                <w:rFonts w:asciiTheme="majorHAnsi" w:hAnsiTheme="majorHAnsi" w:cstheme="majorHAnsi"/>
              </w:rPr>
            </w:pPr>
            <w:r w:rsidRPr="007A01BC">
              <w:rPr>
                <w:rFonts w:asciiTheme="majorHAnsi" w:hAnsiTheme="majorHAnsi" w:cstheme="majorHAnsi"/>
              </w:rPr>
              <w:t xml:space="preserve">5 min. </w:t>
            </w:r>
          </w:p>
        </w:tc>
      </w:tr>
      <w:tr w:rsidR="005E4642" w:rsidRPr="007A01BC" w14:paraId="0D5FBBF6" w14:textId="77777777" w:rsidTr="007A01BC">
        <w:tc>
          <w:tcPr>
            <w:tcW w:w="9129" w:type="dxa"/>
            <w:gridSpan w:val="2"/>
            <w:shd w:val="clear" w:color="auto" w:fill="8EAADB" w:themeFill="accent1" w:themeFillTint="99"/>
          </w:tcPr>
          <w:p w14:paraId="278DFE41" w14:textId="3259BFDB" w:rsidR="005E4642" w:rsidRPr="002D52E9" w:rsidRDefault="005E4642" w:rsidP="005D22DE">
            <w:pPr>
              <w:pStyle w:val="Heading2"/>
              <w:rPr>
                <w:b/>
                <w:color w:val="auto"/>
              </w:rPr>
            </w:pPr>
            <w:r w:rsidRPr="002D52E9">
              <w:rPr>
                <w:b/>
                <w:color w:val="auto"/>
              </w:rPr>
              <w:t xml:space="preserve">Topic 1. </w:t>
            </w:r>
            <w:r w:rsidR="00F239E0" w:rsidRPr="002D52E9">
              <w:rPr>
                <w:b/>
                <w:color w:val="auto"/>
              </w:rPr>
              <w:t xml:space="preserve">In general: </w:t>
            </w:r>
            <w:r w:rsidRPr="002D52E9">
              <w:rPr>
                <w:b/>
                <w:color w:val="auto"/>
              </w:rPr>
              <w:t>The role of the</w:t>
            </w:r>
            <w:r w:rsidR="00881020">
              <w:rPr>
                <w:b/>
                <w:color w:val="auto"/>
              </w:rPr>
              <w:t xml:space="preserve"> data access committee</w:t>
            </w:r>
            <w:r w:rsidRPr="002D52E9">
              <w:rPr>
                <w:b/>
                <w:color w:val="auto"/>
              </w:rPr>
              <w:t xml:space="preserve"> </w:t>
            </w:r>
            <w:r w:rsidR="00881020">
              <w:rPr>
                <w:b/>
                <w:color w:val="auto"/>
              </w:rPr>
              <w:t>(</w:t>
            </w:r>
            <w:r w:rsidRPr="002D52E9">
              <w:rPr>
                <w:b/>
                <w:color w:val="auto"/>
              </w:rPr>
              <w:t>DAC</w:t>
            </w:r>
            <w:r w:rsidR="00881020">
              <w:rPr>
                <w:b/>
                <w:color w:val="auto"/>
              </w:rPr>
              <w:t xml:space="preserve">) </w:t>
            </w:r>
            <w:r w:rsidRPr="002D52E9">
              <w:rPr>
                <w:b/>
                <w:color w:val="auto"/>
              </w:rPr>
              <w:t xml:space="preserve">and </w:t>
            </w:r>
            <w:r w:rsidR="003D50CE" w:rsidRPr="002D52E9">
              <w:rPr>
                <w:b/>
                <w:color w:val="auto"/>
              </w:rPr>
              <w:t xml:space="preserve">of the </w:t>
            </w:r>
            <w:r w:rsidR="00974C2F" w:rsidRPr="002D52E9">
              <w:rPr>
                <w:b/>
                <w:color w:val="auto"/>
              </w:rPr>
              <w:t xml:space="preserve">interviewee </w:t>
            </w:r>
            <w:r w:rsidR="003D50CE" w:rsidRPr="002D52E9">
              <w:rPr>
                <w:b/>
                <w:color w:val="auto"/>
              </w:rPr>
              <w:t>within the DAC</w:t>
            </w:r>
            <w:r w:rsidRPr="002D52E9">
              <w:rPr>
                <w:b/>
                <w:color w:val="auto"/>
              </w:rPr>
              <w:t xml:space="preserve">   </w:t>
            </w:r>
          </w:p>
        </w:tc>
      </w:tr>
      <w:tr w:rsidR="001A27E8" w:rsidRPr="007A01BC" w14:paraId="3CA83B8F" w14:textId="77777777" w:rsidTr="007A01BC">
        <w:tc>
          <w:tcPr>
            <w:tcW w:w="8075" w:type="dxa"/>
          </w:tcPr>
          <w:p w14:paraId="2CBA969F" w14:textId="0E488296" w:rsidR="001A27E8" w:rsidRPr="002D52E9" w:rsidRDefault="001A27E8" w:rsidP="007A01BC">
            <w:pPr>
              <w:spacing w:line="276" w:lineRule="auto"/>
              <w:rPr>
                <w:rFonts w:asciiTheme="majorHAnsi" w:hAnsiTheme="majorHAnsi" w:cstheme="majorHAnsi"/>
              </w:rPr>
            </w:pPr>
          </w:p>
          <w:p w14:paraId="0EC679F4" w14:textId="133A875C" w:rsidR="007716D1" w:rsidRPr="002D52E9" w:rsidRDefault="007716D1" w:rsidP="007A01BC">
            <w:pPr>
              <w:spacing w:line="276" w:lineRule="auto"/>
              <w:rPr>
                <w:rFonts w:asciiTheme="majorHAnsi" w:hAnsiTheme="majorHAnsi" w:cstheme="majorHAnsi"/>
              </w:rPr>
            </w:pPr>
            <w:r w:rsidRPr="002D52E9">
              <w:rPr>
                <w:rFonts w:asciiTheme="majorHAnsi" w:hAnsiTheme="majorHAnsi" w:cstheme="majorHAnsi"/>
              </w:rPr>
              <w:t xml:space="preserve">To discuss: </w:t>
            </w:r>
          </w:p>
          <w:p w14:paraId="7371DA41" w14:textId="0D5100AA" w:rsidR="007716D1" w:rsidRPr="002D52E9" w:rsidRDefault="007716D1" w:rsidP="003D50CE">
            <w:pPr>
              <w:pStyle w:val="ListParagraph"/>
              <w:numPr>
                <w:ilvl w:val="0"/>
                <w:numId w:val="4"/>
              </w:numPr>
              <w:spacing w:line="276" w:lineRule="auto"/>
              <w:rPr>
                <w:rFonts w:asciiTheme="majorHAnsi" w:hAnsiTheme="majorHAnsi" w:cstheme="majorHAnsi"/>
              </w:rPr>
            </w:pPr>
            <w:r w:rsidRPr="002D52E9">
              <w:rPr>
                <w:rFonts w:asciiTheme="majorHAnsi" w:hAnsiTheme="majorHAnsi" w:cstheme="majorHAnsi"/>
              </w:rPr>
              <w:t>T</w:t>
            </w:r>
            <w:r w:rsidR="005E4642" w:rsidRPr="002D52E9">
              <w:rPr>
                <w:rFonts w:asciiTheme="majorHAnsi" w:hAnsiTheme="majorHAnsi" w:cstheme="majorHAnsi"/>
              </w:rPr>
              <w:t>he purpose of the</w:t>
            </w:r>
            <w:r w:rsidR="00881020">
              <w:rPr>
                <w:rFonts w:asciiTheme="majorHAnsi" w:hAnsiTheme="majorHAnsi" w:cstheme="majorHAnsi"/>
              </w:rPr>
              <w:t xml:space="preserve"> data access committee</w:t>
            </w:r>
            <w:r w:rsidR="005E4642" w:rsidRPr="002D52E9">
              <w:rPr>
                <w:rFonts w:asciiTheme="majorHAnsi" w:hAnsiTheme="majorHAnsi" w:cstheme="majorHAnsi"/>
              </w:rPr>
              <w:t xml:space="preserve"> </w:t>
            </w:r>
            <w:r w:rsidR="00881020">
              <w:rPr>
                <w:rFonts w:asciiTheme="majorHAnsi" w:hAnsiTheme="majorHAnsi" w:cstheme="majorHAnsi"/>
              </w:rPr>
              <w:t>(</w:t>
            </w:r>
            <w:r w:rsidR="005E4642" w:rsidRPr="002D52E9">
              <w:rPr>
                <w:rFonts w:asciiTheme="majorHAnsi" w:hAnsiTheme="majorHAnsi" w:cstheme="majorHAnsi"/>
              </w:rPr>
              <w:t>DAC</w:t>
            </w:r>
            <w:r w:rsidR="00881020">
              <w:rPr>
                <w:rFonts w:asciiTheme="majorHAnsi" w:hAnsiTheme="majorHAnsi" w:cstheme="majorHAnsi"/>
              </w:rPr>
              <w:t>)</w:t>
            </w:r>
            <w:r w:rsidR="005E4642" w:rsidRPr="002D52E9">
              <w:rPr>
                <w:rFonts w:asciiTheme="majorHAnsi" w:hAnsiTheme="majorHAnsi" w:cstheme="majorHAnsi"/>
              </w:rPr>
              <w:t xml:space="preserve"> that they are a member of</w:t>
            </w:r>
            <w:r w:rsidR="00685496" w:rsidRPr="002D52E9">
              <w:rPr>
                <w:rFonts w:asciiTheme="majorHAnsi" w:hAnsiTheme="majorHAnsi" w:cstheme="majorHAnsi"/>
              </w:rPr>
              <w:t xml:space="preserve">, </w:t>
            </w:r>
            <w:r w:rsidRPr="002D52E9">
              <w:rPr>
                <w:rFonts w:asciiTheme="majorHAnsi" w:hAnsiTheme="majorHAnsi" w:cstheme="majorHAnsi"/>
              </w:rPr>
              <w:t xml:space="preserve">e.g. the main task of the DAC, </w:t>
            </w:r>
            <w:r w:rsidR="00C64913">
              <w:rPr>
                <w:rFonts w:asciiTheme="majorHAnsi" w:hAnsiTheme="majorHAnsi" w:cstheme="majorHAnsi"/>
              </w:rPr>
              <w:t>the</w:t>
            </w:r>
            <w:r w:rsidRPr="002D52E9">
              <w:rPr>
                <w:rFonts w:asciiTheme="majorHAnsi" w:hAnsiTheme="majorHAnsi" w:cstheme="majorHAnsi"/>
              </w:rPr>
              <w:t xml:space="preserve"> kind of research access requests </w:t>
            </w:r>
            <w:r w:rsidR="00AB75ED">
              <w:rPr>
                <w:rFonts w:asciiTheme="majorHAnsi" w:hAnsiTheme="majorHAnsi" w:cstheme="majorHAnsi"/>
              </w:rPr>
              <w:t xml:space="preserve">that </w:t>
            </w:r>
            <w:r w:rsidRPr="002D52E9">
              <w:rPr>
                <w:rFonts w:asciiTheme="majorHAnsi" w:hAnsiTheme="majorHAnsi" w:cstheme="majorHAnsi"/>
              </w:rPr>
              <w:t>they review.</w:t>
            </w:r>
          </w:p>
          <w:p w14:paraId="326B243B" w14:textId="5D63117D" w:rsidR="005E4642" w:rsidRPr="002D52E9" w:rsidRDefault="007716D1" w:rsidP="007A01BC">
            <w:pPr>
              <w:pStyle w:val="ListParagraph"/>
              <w:numPr>
                <w:ilvl w:val="0"/>
                <w:numId w:val="4"/>
              </w:numPr>
              <w:spacing w:line="276" w:lineRule="auto"/>
              <w:rPr>
                <w:rFonts w:asciiTheme="majorHAnsi" w:hAnsiTheme="majorHAnsi" w:cstheme="majorHAnsi"/>
              </w:rPr>
            </w:pPr>
            <w:r w:rsidRPr="002D52E9">
              <w:rPr>
                <w:rFonts w:asciiTheme="majorHAnsi" w:hAnsiTheme="majorHAnsi" w:cstheme="majorHAnsi"/>
              </w:rPr>
              <w:t xml:space="preserve">The </w:t>
            </w:r>
            <w:r w:rsidR="005E4642" w:rsidRPr="002D52E9">
              <w:rPr>
                <w:rFonts w:asciiTheme="majorHAnsi" w:hAnsiTheme="majorHAnsi" w:cstheme="majorHAnsi"/>
              </w:rPr>
              <w:t>review process of the committee</w:t>
            </w:r>
            <w:r w:rsidR="00685496" w:rsidRPr="002D52E9">
              <w:rPr>
                <w:rFonts w:asciiTheme="majorHAnsi" w:hAnsiTheme="majorHAnsi" w:cstheme="majorHAnsi"/>
              </w:rPr>
              <w:t xml:space="preserve">, e.g. </w:t>
            </w:r>
            <w:r w:rsidR="00AB75ED">
              <w:rPr>
                <w:rFonts w:asciiTheme="majorHAnsi" w:hAnsiTheme="majorHAnsi" w:cstheme="majorHAnsi"/>
              </w:rPr>
              <w:t>those who</w:t>
            </w:r>
            <w:r w:rsidR="00685496" w:rsidRPr="002D52E9">
              <w:rPr>
                <w:rFonts w:asciiTheme="majorHAnsi" w:hAnsiTheme="majorHAnsi" w:cstheme="majorHAnsi"/>
              </w:rPr>
              <w:t xml:space="preserve"> are involved in the review process, </w:t>
            </w:r>
            <w:r w:rsidR="00AB75ED">
              <w:rPr>
                <w:rFonts w:asciiTheme="majorHAnsi" w:hAnsiTheme="majorHAnsi" w:cstheme="majorHAnsi"/>
              </w:rPr>
              <w:t xml:space="preserve">how often the DAC comes </w:t>
            </w:r>
            <w:proofErr w:type="gramStart"/>
            <w:r w:rsidR="00AB75ED">
              <w:rPr>
                <w:rFonts w:asciiTheme="majorHAnsi" w:hAnsiTheme="majorHAnsi" w:cstheme="majorHAnsi"/>
              </w:rPr>
              <w:t>together</w:t>
            </w:r>
            <w:proofErr w:type="gramEnd"/>
            <w:r w:rsidR="00685496" w:rsidRPr="002D52E9">
              <w:rPr>
                <w:rFonts w:asciiTheme="majorHAnsi" w:hAnsiTheme="majorHAnsi" w:cstheme="majorHAnsi"/>
              </w:rPr>
              <w:t xml:space="preserve"> and </w:t>
            </w:r>
            <w:r w:rsidR="00AB75ED">
              <w:rPr>
                <w:rFonts w:asciiTheme="majorHAnsi" w:hAnsiTheme="majorHAnsi" w:cstheme="majorHAnsi"/>
              </w:rPr>
              <w:t xml:space="preserve">topics </w:t>
            </w:r>
            <w:r w:rsidR="00685496" w:rsidRPr="002D52E9">
              <w:rPr>
                <w:rFonts w:asciiTheme="majorHAnsi" w:hAnsiTheme="majorHAnsi" w:cstheme="majorHAnsi"/>
              </w:rPr>
              <w:t>discussed</w:t>
            </w:r>
            <w:r w:rsidR="00AB75ED">
              <w:rPr>
                <w:rFonts w:asciiTheme="majorHAnsi" w:hAnsiTheme="majorHAnsi" w:cstheme="majorHAnsi"/>
              </w:rPr>
              <w:t xml:space="preserve"> during DAC meetings</w:t>
            </w:r>
            <w:r w:rsidR="00685496" w:rsidRPr="002D52E9">
              <w:rPr>
                <w:rFonts w:asciiTheme="majorHAnsi" w:hAnsiTheme="majorHAnsi" w:cstheme="majorHAnsi"/>
              </w:rPr>
              <w:t xml:space="preserve">. </w:t>
            </w:r>
            <w:r w:rsidRPr="002D52E9">
              <w:rPr>
                <w:rFonts w:asciiTheme="majorHAnsi" w:hAnsiTheme="majorHAnsi" w:cstheme="majorHAnsi"/>
              </w:rPr>
              <w:t xml:space="preserve">This </w:t>
            </w:r>
            <w:r w:rsidR="00685496" w:rsidRPr="002D52E9">
              <w:rPr>
                <w:rFonts w:asciiTheme="majorHAnsi" w:hAnsiTheme="majorHAnsi" w:cstheme="majorHAnsi"/>
              </w:rPr>
              <w:t xml:space="preserve">topic </w:t>
            </w:r>
            <w:r w:rsidRPr="002D52E9">
              <w:rPr>
                <w:rFonts w:asciiTheme="majorHAnsi" w:hAnsiTheme="majorHAnsi" w:cstheme="majorHAnsi"/>
              </w:rPr>
              <w:t xml:space="preserve">can be </w:t>
            </w:r>
            <w:r w:rsidR="00685496" w:rsidRPr="002D52E9">
              <w:rPr>
                <w:rFonts w:asciiTheme="majorHAnsi" w:hAnsiTheme="majorHAnsi" w:cstheme="majorHAnsi"/>
              </w:rPr>
              <w:t>briefly discussed</w:t>
            </w:r>
            <w:r w:rsidRPr="002D52E9">
              <w:rPr>
                <w:rFonts w:asciiTheme="majorHAnsi" w:hAnsiTheme="majorHAnsi" w:cstheme="majorHAnsi"/>
              </w:rPr>
              <w:t xml:space="preserve"> if</w:t>
            </w:r>
            <w:r w:rsidR="005E4642" w:rsidRPr="002D52E9">
              <w:rPr>
                <w:rFonts w:asciiTheme="majorHAnsi" w:hAnsiTheme="majorHAnsi" w:cstheme="majorHAnsi"/>
              </w:rPr>
              <w:t xml:space="preserve"> already </w:t>
            </w:r>
            <w:r w:rsidR="00A93778" w:rsidRPr="002D52E9">
              <w:rPr>
                <w:rFonts w:asciiTheme="majorHAnsi" w:hAnsiTheme="majorHAnsi" w:cstheme="majorHAnsi"/>
              </w:rPr>
              <w:t xml:space="preserve">previously </w:t>
            </w:r>
            <w:r w:rsidR="005E4642" w:rsidRPr="002D52E9">
              <w:rPr>
                <w:rFonts w:asciiTheme="majorHAnsi" w:hAnsiTheme="majorHAnsi" w:cstheme="majorHAnsi"/>
              </w:rPr>
              <w:t xml:space="preserve">discussed with interviewees from the same </w:t>
            </w:r>
            <w:r w:rsidRPr="002D52E9">
              <w:rPr>
                <w:rFonts w:asciiTheme="majorHAnsi" w:hAnsiTheme="majorHAnsi" w:cstheme="majorHAnsi"/>
              </w:rPr>
              <w:t>DAC</w:t>
            </w:r>
            <w:r w:rsidR="005E4642" w:rsidRPr="002D52E9">
              <w:rPr>
                <w:rFonts w:asciiTheme="majorHAnsi" w:hAnsiTheme="majorHAnsi" w:cstheme="majorHAnsi"/>
              </w:rPr>
              <w:t xml:space="preserve">. </w:t>
            </w:r>
          </w:p>
          <w:p w14:paraId="2E53BAF8" w14:textId="77777777" w:rsidR="001A27E8" w:rsidRDefault="007716D1" w:rsidP="007A01BC">
            <w:pPr>
              <w:pStyle w:val="ListParagraph"/>
              <w:numPr>
                <w:ilvl w:val="0"/>
                <w:numId w:val="4"/>
              </w:numPr>
              <w:spacing w:line="276" w:lineRule="auto"/>
              <w:rPr>
                <w:rFonts w:asciiTheme="majorHAnsi" w:hAnsiTheme="majorHAnsi" w:cstheme="majorHAnsi"/>
              </w:rPr>
            </w:pPr>
            <w:r w:rsidRPr="002D52E9">
              <w:rPr>
                <w:rFonts w:asciiTheme="majorHAnsi" w:hAnsiTheme="majorHAnsi" w:cstheme="majorHAnsi"/>
              </w:rPr>
              <w:t>The</w:t>
            </w:r>
            <w:r w:rsidR="005E4642" w:rsidRPr="002D52E9">
              <w:rPr>
                <w:rFonts w:asciiTheme="majorHAnsi" w:hAnsiTheme="majorHAnsi" w:cstheme="majorHAnsi"/>
              </w:rPr>
              <w:t xml:space="preserve"> specific role </w:t>
            </w:r>
            <w:r w:rsidRPr="002D52E9">
              <w:rPr>
                <w:rFonts w:asciiTheme="majorHAnsi" w:hAnsiTheme="majorHAnsi" w:cstheme="majorHAnsi"/>
              </w:rPr>
              <w:t xml:space="preserve">of the interviewee </w:t>
            </w:r>
            <w:r w:rsidR="0056334A" w:rsidRPr="002D52E9">
              <w:rPr>
                <w:rFonts w:asciiTheme="majorHAnsi" w:hAnsiTheme="majorHAnsi" w:cstheme="majorHAnsi"/>
              </w:rPr>
              <w:t>i</w:t>
            </w:r>
            <w:r w:rsidR="005E4642" w:rsidRPr="002D52E9">
              <w:rPr>
                <w:rFonts w:asciiTheme="majorHAnsi" w:hAnsiTheme="majorHAnsi" w:cstheme="majorHAnsi"/>
              </w:rPr>
              <w:t>n the DAC, e.g. whether t</w:t>
            </w:r>
            <w:r w:rsidR="0056334A" w:rsidRPr="002D52E9">
              <w:rPr>
                <w:rFonts w:asciiTheme="majorHAnsi" w:hAnsiTheme="majorHAnsi" w:cstheme="majorHAnsi"/>
              </w:rPr>
              <w:t>he interviewee has</w:t>
            </w:r>
            <w:r w:rsidR="005E4642" w:rsidRPr="002D52E9">
              <w:rPr>
                <w:rFonts w:asciiTheme="majorHAnsi" w:hAnsiTheme="majorHAnsi" w:cstheme="majorHAnsi"/>
              </w:rPr>
              <w:t xml:space="preserve"> different responsibilities compared to others in the committee, why they </w:t>
            </w:r>
            <w:r w:rsidR="0056334A" w:rsidRPr="002D52E9">
              <w:rPr>
                <w:rFonts w:asciiTheme="majorHAnsi" w:hAnsiTheme="majorHAnsi" w:cstheme="majorHAnsi"/>
              </w:rPr>
              <w:lastRenderedPageBreak/>
              <w:t xml:space="preserve">decided </w:t>
            </w:r>
            <w:r w:rsidR="005E4642" w:rsidRPr="002D52E9">
              <w:rPr>
                <w:rFonts w:asciiTheme="majorHAnsi" w:hAnsiTheme="majorHAnsi" w:cstheme="majorHAnsi"/>
              </w:rPr>
              <w:t>to join the DAC</w:t>
            </w:r>
            <w:r w:rsidR="0056334A" w:rsidRPr="002D52E9">
              <w:rPr>
                <w:rFonts w:asciiTheme="majorHAnsi" w:hAnsiTheme="majorHAnsi" w:cstheme="majorHAnsi"/>
              </w:rPr>
              <w:t>, examples of things they changed in the review process of the committee</w:t>
            </w:r>
            <w:r w:rsidR="005E4642" w:rsidRPr="002D52E9">
              <w:rPr>
                <w:rFonts w:asciiTheme="majorHAnsi" w:hAnsiTheme="majorHAnsi" w:cstheme="majorHAnsi"/>
              </w:rPr>
              <w:t xml:space="preserve">. </w:t>
            </w:r>
          </w:p>
          <w:p w14:paraId="34065638" w14:textId="24BB8D23" w:rsidR="005776ED" w:rsidRPr="002C0E3C" w:rsidRDefault="005776ED" w:rsidP="005776ED">
            <w:pPr>
              <w:pStyle w:val="ListParagraph"/>
              <w:spacing w:line="276" w:lineRule="auto"/>
              <w:rPr>
                <w:rFonts w:asciiTheme="majorHAnsi" w:hAnsiTheme="majorHAnsi" w:cstheme="majorHAnsi"/>
              </w:rPr>
            </w:pPr>
          </w:p>
        </w:tc>
        <w:tc>
          <w:tcPr>
            <w:tcW w:w="1054" w:type="dxa"/>
          </w:tcPr>
          <w:p w14:paraId="72266387" w14:textId="77777777" w:rsidR="001A27E8" w:rsidRPr="007A01BC" w:rsidRDefault="001A27E8" w:rsidP="007A01BC">
            <w:pPr>
              <w:spacing w:line="276" w:lineRule="auto"/>
              <w:rPr>
                <w:rFonts w:asciiTheme="majorHAnsi" w:hAnsiTheme="majorHAnsi" w:cstheme="majorHAnsi"/>
              </w:rPr>
            </w:pPr>
          </w:p>
          <w:p w14:paraId="45C5334B" w14:textId="77777777" w:rsidR="005E4642" w:rsidRPr="007A01BC" w:rsidRDefault="005E4642" w:rsidP="007A01BC">
            <w:pPr>
              <w:spacing w:line="276" w:lineRule="auto"/>
              <w:rPr>
                <w:rFonts w:asciiTheme="majorHAnsi" w:hAnsiTheme="majorHAnsi" w:cstheme="majorHAnsi"/>
              </w:rPr>
            </w:pPr>
          </w:p>
          <w:p w14:paraId="394DAAD3" w14:textId="77777777" w:rsidR="005E4642" w:rsidRPr="007A01BC" w:rsidRDefault="005E4642" w:rsidP="007A01BC">
            <w:pPr>
              <w:spacing w:line="276" w:lineRule="auto"/>
              <w:rPr>
                <w:rFonts w:asciiTheme="majorHAnsi" w:hAnsiTheme="majorHAnsi" w:cstheme="majorHAnsi"/>
              </w:rPr>
            </w:pPr>
          </w:p>
          <w:p w14:paraId="77C24B4E" w14:textId="77777777" w:rsidR="007716D1" w:rsidRPr="007A01BC" w:rsidRDefault="007716D1" w:rsidP="007A01BC">
            <w:pPr>
              <w:spacing w:line="276" w:lineRule="auto"/>
              <w:rPr>
                <w:rFonts w:asciiTheme="majorHAnsi" w:hAnsiTheme="majorHAnsi" w:cstheme="majorHAnsi"/>
              </w:rPr>
            </w:pPr>
          </w:p>
          <w:p w14:paraId="0C72C3E2" w14:textId="77777777" w:rsidR="007716D1" w:rsidRPr="007A01BC" w:rsidRDefault="007716D1" w:rsidP="007A01BC">
            <w:pPr>
              <w:spacing w:line="276" w:lineRule="auto"/>
              <w:rPr>
                <w:rFonts w:asciiTheme="majorHAnsi" w:hAnsiTheme="majorHAnsi" w:cstheme="majorHAnsi"/>
              </w:rPr>
            </w:pPr>
          </w:p>
          <w:p w14:paraId="739F2DAD" w14:textId="73CFF83A" w:rsidR="001A27E8" w:rsidRPr="007A01BC" w:rsidRDefault="001A27E8" w:rsidP="007A01BC">
            <w:pPr>
              <w:spacing w:line="276" w:lineRule="auto"/>
              <w:rPr>
                <w:rFonts w:asciiTheme="majorHAnsi" w:hAnsiTheme="majorHAnsi" w:cstheme="majorHAnsi"/>
              </w:rPr>
            </w:pPr>
            <w:r w:rsidRPr="007A01BC">
              <w:rPr>
                <w:rFonts w:asciiTheme="majorHAnsi" w:hAnsiTheme="majorHAnsi" w:cstheme="majorHAnsi"/>
              </w:rPr>
              <w:t>10 min.</w:t>
            </w:r>
          </w:p>
        </w:tc>
      </w:tr>
      <w:tr w:rsidR="002F249A" w:rsidRPr="007A01BC" w14:paraId="67DF1D42" w14:textId="77777777" w:rsidTr="007A01BC">
        <w:tc>
          <w:tcPr>
            <w:tcW w:w="9129" w:type="dxa"/>
            <w:gridSpan w:val="2"/>
            <w:shd w:val="clear" w:color="auto" w:fill="8EAADB" w:themeFill="accent1" w:themeFillTint="99"/>
          </w:tcPr>
          <w:p w14:paraId="20E739BA" w14:textId="77777777" w:rsidR="005776ED" w:rsidRDefault="002F249A" w:rsidP="005776ED">
            <w:pPr>
              <w:pStyle w:val="Heading2"/>
              <w:rPr>
                <w:b/>
                <w:color w:val="auto"/>
              </w:rPr>
            </w:pPr>
            <w:r w:rsidRPr="002D52E9">
              <w:rPr>
                <w:b/>
                <w:color w:val="auto"/>
              </w:rPr>
              <w:t xml:space="preserve">Topic 2. Current practices </w:t>
            </w:r>
            <w:r w:rsidR="0056334A" w:rsidRPr="002D52E9">
              <w:rPr>
                <w:b/>
                <w:color w:val="auto"/>
              </w:rPr>
              <w:t xml:space="preserve">of </w:t>
            </w:r>
            <w:r w:rsidRPr="002D52E9">
              <w:rPr>
                <w:b/>
                <w:color w:val="auto"/>
              </w:rPr>
              <w:t>applying the public interest criterion</w:t>
            </w:r>
          </w:p>
          <w:p w14:paraId="1D01C494" w14:textId="436D246B" w:rsidR="005776ED" w:rsidRPr="005776ED" w:rsidRDefault="005776ED" w:rsidP="005776ED"/>
        </w:tc>
      </w:tr>
      <w:tr w:rsidR="002F249A" w:rsidRPr="007A01BC" w14:paraId="0AF58981" w14:textId="77777777" w:rsidTr="007A01BC">
        <w:tc>
          <w:tcPr>
            <w:tcW w:w="8075" w:type="dxa"/>
          </w:tcPr>
          <w:p w14:paraId="75724F5B" w14:textId="565D0DE2" w:rsidR="002F249A" w:rsidRPr="007A01BC" w:rsidRDefault="002F249A" w:rsidP="007A01BC">
            <w:pPr>
              <w:spacing w:line="276" w:lineRule="auto"/>
              <w:rPr>
                <w:rFonts w:asciiTheme="majorHAnsi" w:hAnsiTheme="majorHAnsi" w:cstheme="majorHAnsi"/>
              </w:rPr>
            </w:pPr>
          </w:p>
          <w:p w14:paraId="4AEA8146" w14:textId="2ACD5621" w:rsidR="007716D1" w:rsidRPr="007A01BC" w:rsidRDefault="007716D1" w:rsidP="007A01BC">
            <w:pPr>
              <w:spacing w:line="276" w:lineRule="auto"/>
              <w:rPr>
                <w:rFonts w:asciiTheme="majorHAnsi" w:hAnsiTheme="majorHAnsi" w:cstheme="majorHAnsi"/>
              </w:rPr>
            </w:pPr>
            <w:r w:rsidRPr="007A01BC">
              <w:rPr>
                <w:rFonts w:asciiTheme="majorHAnsi" w:hAnsiTheme="majorHAnsi" w:cstheme="majorHAnsi"/>
              </w:rPr>
              <w:t xml:space="preserve">To discuss: </w:t>
            </w:r>
          </w:p>
          <w:p w14:paraId="3D5B42DB" w14:textId="147ED72A" w:rsidR="002F249A" w:rsidRPr="007A01BC" w:rsidRDefault="007716D1" w:rsidP="007A01BC">
            <w:pPr>
              <w:pStyle w:val="ListParagraph"/>
              <w:numPr>
                <w:ilvl w:val="0"/>
                <w:numId w:val="5"/>
              </w:numPr>
              <w:spacing w:line="276" w:lineRule="auto"/>
              <w:rPr>
                <w:rFonts w:asciiTheme="majorHAnsi" w:hAnsiTheme="majorHAnsi" w:cstheme="majorHAnsi"/>
              </w:rPr>
            </w:pPr>
            <w:r w:rsidRPr="007A01BC">
              <w:rPr>
                <w:rFonts w:asciiTheme="majorHAnsi" w:hAnsiTheme="majorHAnsi" w:cstheme="majorHAnsi"/>
              </w:rPr>
              <w:t>T</w:t>
            </w:r>
            <w:r w:rsidR="002F249A" w:rsidRPr="007A01BC">
              <w:rPr>
                <w:rFonts w:asciiTheme="majorHAnsi" w:hAnsiTheme="majorHAnsi" w:cstheme="majorHAnsi"/>
              </w:rPr>
              <w:t xml:space="preserve">he current practice </w:t>
            </w:r>
            <w:r w:rsidR="0056334A" w:rsidRPr="007A01BC">
              <w:rPr>
                <w:rFonts w:asciiTheme="majorHAnsi" w:hAnsiTheme="majorHAnsi" w:cstheme="majorHAnsi"/>
              </w:rPr>
              <w:t xml:space="preserve">within the DAC </w:t>
            </w:r>
            <w:r w:rsidR="002F249A" w:rsidRPr="007A01BC">
              <w:rPr>
                <w:rFonts w:asciiTheme="majorHAnsi" w:hAnsiTheme="majorHAnsi" w:cstheme="majorHAnsi"/>
              </w:rPr>
              <w:t xml:space="preserve">of reviewing </w:t>
            </w:r>
            <w:r w:rsidR="00C85CFB" w:rsidRPr="007A01BC">
              <w:rPr>
                <w:rFonts w:asciiTheme="majorHAnsi" w:hAnsiTheme="majorHAnsi" w:cstheme="majorHAnsi"/>
              </w:rPr>
              <w:t>data</w:t>
            </w:r>
            <w:r w:rsidR="002F249A" w:rsidRPr="007A01BC">
              <w:rPr>
                <w:rFonts w:asciiTheme="majorHAnsi" w:hAnsiTheme="majorHAnsi" w:cstheme="majorHAnsi"/>
              </w:rPr>
              <w:t xml:space="preserve"> </w:t>
            </w:r>
            <w:r w:rsidRPr="007A01BC">
              <w:rPr>
                <w:rFonts w:asciiTheme="majorHAnsi" w:hAnsiTheme="majorHAnsi" w:cstheme="majorHAnsi"/>
              </w:rPr>
              <w:t xml:space="preserve">access requests </w:t>
            </w:r>
            <w:r w:rsidR="002F249A" w:rsidRPr="007A01BC">
              <w:rPr>
                <w:rFonts w:asciiTheme="majorHAnsi" w:hAnsiTheme="majorHAnsi" w:cstheme="majorHAnsi"/>
              </w:rPr>
              <w:t>based on the public interest criterion</w:t>
            </w:r>
            <w:r w:rsidR="00F27893" w:rsidRPr="007A01BC">
              <w:rPr>
                <w:rFonts w:asciiTheme="majorHAnsi" w:hAnsiTheme="majorHAnsi" w:cstheme="majorHAnsi"/>
              </w:rPr>
              <w:t xml:space="preserve">, e.g. </w:t>
            </w:r>
            <w:r w:rsidR="004D6A9F">
              <w:rPr>
                <w:rFonts w:asciiTheme="majorHAnsi" w:hAnsiTheme="majorHAnsi" w:cstheme="majorHAnsi"/>
              </w:rPr>
              <w:t>the way in which</w:t>
            </w:r>
            <w:r w:rsidRPr="007A01BC">
              <w:rPr>
                <w:rFonts w:asciiTheme="majorHAnsi" w:hAnsiTheme="majorHAnsi" w:cstheme="majorHAnsi"/>
              </w:rPr>
              <w:t xml:space="preserve"> public interest </w:t>
            </w:r>
            <w:r w:rsidR="004D6A9F">
              <w:rPr>
                <w:rFonts w:asciiTheme="majorHAnsi" w:hAnsiTheme="majorHAnsi" w:cstheme="majorHAnsi"/>
              </w:rPr>
              <w:t xml:space="preserve">is </w:t>
            </w:r>
            <w:r w:rsidRPr="007A01BC">
              <w:rPr>
                <w:rFonts w:asciiTheme="majorHAnsi" w:hAnsiTheme="majorHAnsi" w:cstheme="majorHAnsi"/>
              </w:rPr>
              <w:t>defined</w:t>
            </w:r>
            <w:r w:rsidR="00C85CFB" w:rsidRPr="007A01BC">
              <w:rPr>
                <w:rFonts w:asciiTheme="majorHAnsi" w:hAnsiTheme="majorHAnsi" w:cstheme="majorHAnsi"/>
              </w:rPr>
              <w:t xml:space="preserve"> by the DAC</w:t>
            </w:r>
            <w:r w:rsidRPr="007A01BC">
              <w:rPr>
                <w:rFonts w:asciiTheme="majorHAnsi" w:hAnsiTheme="majorHAnsi" w:cstheme="majorHAnsi"/>
              </w:rPr>
              <w:t xml:space="preserve"> (</w:t>
            </w:r>
            <w:r w:rsidR="00C85CFB" w:rsidRPr="007A01BC">
              <w:rPr>
                <w:rFonts w:asciiTheme="majorHAnsi" w:hAnsiTheme="majorHAnsi" w:cstheme="majorHAnsi"/>
              </w:rPr>
              <w:t xml:space="preserve">officially and/ or in </w:t>
            </w:r>
            <w:r w:rsidRPr="007A01BC">
              <w:rPr>
                <w:rFonts w:asciiTheme="majorHAnsi" w:hAnsiTheme="majorHAnsi" w:cstheme="majorHAnsi"/>
              </w:rPr>
              <w:t>practice)</w:t>
            </w:r>
            <w:r w:rsidR="00C85CFB" w:rsidRPr="007A01BC">
              <w:rPr>
                <w:rFonts w:asciiTheme="majorHAnsi" w:hAnsiTheme="majorHAnsi" w:cstheme="majorHAnsi"/>
              </w:rPr>
              <w:t xml:space="preserve">, </w:t>
            </w:r>
            <w:r w:rsidR="004D6A9F">
              <w:rPr>
                <w:rFonts w:asciiTheme="majorHAnsi" w:hAnsiTheme="majorHAnsi" w:cstheme="majorHAnsi"/>
              </w:rPr>
              <w:t>whether</w:t>
            </w:r>
            <w:r w:rsidR="00C85CFB" w:rsidRPr="007A01BC">
              <w:rPr>
                <w:rFonts w:asciiTheme="majorHAnsi" w:hAnsiTheme="majorHAnsi" w:cstheme="majorHAnsi"/>
              </w:rPr>
              <w:t xml:space="preserve"> the DAC use particular guidelines/frameworks to apply the criterion, </w:t>
            </w:r>
            <w:r w:rsidRPr="007A01BC">
              <w:rPr>
                <w:rFonts w:asciiTheme="majorHAnsi" w:hAnsiTheme="majorHAnsi" w:cstheme="majorHAnsi"/>
              </w:rPr>
              <w:t xml:space="preserve">considerations </w:t>
            </w:r>
            <w:r w:rsidR="004D6A9F">
              <w:rPr>
                <w:rFonts w:asciiTheme="majorHAnsi" w:hAnsiTheme="majorHAnsi" w:cstheme="majorHAnsi"/>
              </w:rPr>
              <w:t xml:space="preserve">that </w:t>
            </w:r>
            <w:r w:rsidR="00C85CFB" w:rsidRPr="007A01BC">
              <w:rPr>
                <w:rFonts w:asciiTheme="majorHAnsi" w:hAnsiTheme="majorHAnsi" w:cstheme="majorHAnsi"/>
              </w:rPr>
              <w:t xml:space="preserve">typically </w:t>
            </w:r>
            <w:r w:rsidR="0056334A">
              <w:rPr>
                <w:rFonts w:asciiTheme="majorHAnsi" w:hAnsiTheme="majorHAnsi" w:cstheme="majorHAnsi"/>
              </w:rPr>
              <w:t xml:space="preserve">come up </w:t>
            </w:r>
            <w:r w:rsidR="00C85CFB" w:rsidRPr="007A01BC">
              <w:rPr>
                <w:rFonts w:asciiTheme="majorHAnsi" w:hAnsiTheme="majorHAnsi" w:cstheme="majorHAnsi"/>
              </w:rPr>
              <w:t xml:space="preserve">when </w:t>
            </w:r>
            <w:r w:rsidR="004D6A9F">
              <w:rPr>
                <w:rFonts w:asciiTheme="majorHAnsi" w:hAnsiTheme="majorHAnsi" w:cstheme="majorHAnsi"/>
              </w:rPr>
              <w:t>applying the public interest criterion</w:t>
            </w:r>
            <w:r w:rsidR="0056334A">
              <w:rPr>
                <w:rFonts w:asciiTheme="majorHAnsi" w:hAnsiTheme="majorHAnsi" w:cstheme="majorHAnsi"/>
              </w:rPr>
              <w:t xml:space="preserve">, </w:t>
            </w:r>
            <w:r w:rsidR="004D6A9F">
              <w:rPr>
                <w:rFonts w:asciiTheme="majorHAnsi" w:hAnsiTheme="majorHAnsi" w:cstheme="majorHAnsi"/>
              </w:rPr>
              <w:t>record keeping of</w:t>
            </w:r>
            <w:r w:rsidR="00C85CFB" w:rsidRPr="007A01BC">
              <w:rPr>
                <w:rFonts w:asciiTheme="majorHAnsi" w:hAnsiTheme="majorHAnsi" w:cstheme="majorHAnsi"/>
              </w:rPr>
              <w:t xml:space="preserve"> outcomes of the review process (</w:t>
            </w:r>
            <w:r w:rsidR="003525C3">
              <w:rPr>
                <w:rFonts w:asciiTheme="majorHAnsi" w:hAnsiTheme="majorHAnsi" w:cstheme="majorHAnsi"/>
              </w:rPr>
              <w:t xml:space="preserve">e.g. </w:t>
            </w:r>
            <w:r w:rsidR="002119C6">
              <w:rPr>
                <w:rFonts w:asciiTheme="majorHAnsi" w:hAnsiTheme="majorHAnsi" w:cstheme="majorHAnsi"/>
              </w:rPr>
              <w:t>whether</w:t>
            </w:r>
            <w:r w:rsidR="00C85CFB" w:rsidRPr="007A01BC">
              <w:rPr>
                <w:rFonts w:asciiTheme="majorHAnsi" w:hAnsiTheme="majorHAnsi" w:cstheme="majorHAnsi"/>
              </w:rPr>
              <w:t xml:space="preserve"> records</w:t>
            </w:r>
            <w:r w:rsidR="002119C6">
              <w:rPr>
                <w:rFonts w:asciiTheme="majorHAnsi" w:hAnsiTheme="majorHAnsi" w:cstheme="majorHAnsi"/>
              </w:rPr>
              <w:t xml:space="preserve"> are</w:t>
            </w:r>
            <w:r w:rsidR="00C85CFB" w:rsidRPr="007A01BC">
              <w:rPr>
                <w:rFonts w:asciiTheme="majorHAnsi" w:hAnsiTheme="majorHAnsi" w:cstheme="majorHAnsi"/>
              </w:rPr>
              <w:t xml:space="preserve"> kept internally or published publicly)</w:t>
            </w:r>
            <w:r w:rsidR="00AB646C">
              <w:rPr>
                <w:rFonts w:asciiTheme="majorHAnsi" w:hAnsiTheme="majorHAnsi" w:cstheme="majorHAnsi"/>
              </w:rPr>
              <w:t>, the role of the public interest criterion in relation to other selection criteria</w:t>
            </w:r>
            <w:r w:rsidR="004D6A9F">
              <w:rPr>
                <w:rFonts w:asciiTheme="majorHAnsi" w:hAnsiTheme="majorHAnsi" w:cstheme="majorHAnsi"/>
              </w:rPr>
              <w:t>.</w:t>
            </w:r>
            <w:r w:rsidRPr="007A01BC">
              <w:rPr>
                <w:rFonts w:asciiTheme="majorHAnsi" w:hAnsiTheme="majorHAnsi" w:cstheme="majorHAnsi"/>
              </w:rPr>
              <w:t xml:space="preserve"> </w:t>
            </w:r>
          </w:p>
          <w:p w14:paraId="0AFA9CCD" w14:textId="786BAA97" w:rsidR="002F249A" w:rsidRPr="007A01BC" w:rsidRDefault="00C85CFB" w:rsidP="007A01BC">
            <w:pPr>
              <w:pStyle w:val="ListParagraph"/>
              <w:numPr>
                <w:ilvl w:val="0"/>
                <w:numId w:val="5"/>
              </w:numPr>
              <w:spacing w:line="276" w:lineRule="auto"/>
              <w:rPr>
                <w:rFonts w:asciiTheme="majorHAnsi" w:hAnsiTheme="majorHAnsi" w:cstheme="majorHAnsi"/>
              </w:rPr>
            </w:pPr>
            <w:r w:rsidRPr="007A01BC">
              <w:rPr>
                <w:rFonts w:asciiTheme="majorHAnsi" w:hAnsiTheme="majorHAnsi" w:cstheme="majorHAnsi"/>
              </w:rPr>
              <w:t xml:space="preserve">Research that is not in the public interest according to the DAC and/or the interviewee, e.g. </w:t>
            </w:r>
            <w:r w:rsidR="00863562" w:rsidRPr="007A01BC">
              <w:rPr>
                <w:rFonts w:asciiTheme="majorHAnsi" w:hAnsiTheme="majorHAnsi" w:cstheme="majorHAnsi"/>
              </w:rPr>
              <w:t>data access requests</w:t>
            </w:r>
            <w:r w:rsidR="009E580E" w:rsidRPr="007A01BC">
              <w:rPr>
                <w:rFonts w:asciiTheme="majorHAnsi" w:hAnsiTheme="majorHAnsi" w:cstheme="majorHAnsi"/>
              </w:rPr>
              <w:t xml:space="preserve"> </w:t>
            </w:r>
            <w:r w:rsidR="004D6A9F">
              <w:rPr>
                <w:rFonts w:asciiTheme="majorHAnsi" w:hAnsiTheme="majorHAnsi" w:cstheme="majorHAnsi"/>
              </w:rPr>
              <w:t xml:space="preserve">rejected by the </w:t>
            </w:r>
            <w:r w:rsidR="004D6A9F" w:rsidRPr="007A01BC">
              <w:rPr>
                <w:rFonts w:asciiTheme="majorHAnsi" w:hAnsiTheme="majorHAnsi" w:cstheme="majorHAnsi"/>
              </w:rPr>
              <w:t xml:space="preserve">DAC </w:t>
            </w:r>
            <w:r w:rsidR="009E580E" w:rsidRPr="007A01BC">
              <w:rPr>
                <w:rFonts w:asciiTheme="majorHAnsi" w:hAnsiTheme="majorHAnsi" w:cstheme="majorHAnsi"/>
              </w:rPr>
              <w:t>based on a lack of public interest, requests that were approved by the DAC but should have been rejected according to the interviewee</w:t>
            </w:r>
            <w:r w:rsidR="00AB646C">
              <w:rPr>
                <w:rFonts w:asciiTheme="majorHAnsi" w:hAnsiTheme="majorHAnsi" w:cstheme="majorHAnsi"/>
              </w:rPr>
              <w:t xml:space="preserve"> and vice versa</w:t>
            </w:r>
            <w:r w:rsidR="00863562" w:rsidRPr="007A01BC">
              <w:rPr>
                <w:rFonts w:asciiTheme="majorHAnsi" w:hAnsiTheme="majorHAnsi" w:cstheme="majorHAnsi"/>
              </w:rPr>
              <w:t xml:space="preserve">. </w:t>
            </w:r>
          </w:p>
          <w:p w14:paraId="792F3AE7" w14:textId="24871CF7" w:rsidR="00AB75ED" w:rsidRDefault="002119C6" w:rsidP="007D27AD">
            <w:pPr>
              <w:pStyle w:val="ListParagraph"/>
              <w:numPr>
                <w:ilvl w:val="0"/>
                <w:numId w:val="5"/>
              </w:numPr>
              <w:spacing w:line="276" w:lineRule="auto"/>
              <w:rPr>
                <w:rFonts w:asciiTheme="majorHAnsi" w:hAnsiTheme="majorHAnsi" w:cstheme="majorHAnsi"/>
              </w:rPr>
            </w:pPr>
            <w:r>
              <w:rPr>
                <w:rFonts w:asciiTheme="majorHAnsi" w:hAnsiTheme="majorHAnsi" w:cstheme="majorHAnsi"/>
              </w:rPr>
              <w:t xml:space="preserve">Challenges </w:t>
            </w:r>
            <w:r w:rsidR="00B92F90">
              <w:rPr>
                <w:rFonts w:asciiTheme="majorHAnsi" w:hAnsiTheme="majorHAnsi" w:cstheme="majorHAnsi"/>
              </w:rPr>
              <w:t>when</w:t>
            </w:r>
            <w:r>
              <w:rPr>
                <w:rFonts w:asciiTheme="majorHAnsi" w:hAnsiTheme="majorHAnsi" w:cstheme="majorHAnsi"/>
              </w:rPr>
              <w:t xml:space="preserve"> assessing </w:t>
            </w:r>
            <w:r w:rsidR="00A01952">
              <w:rPr>
                <w:rFonts w:asciiTheme="majorHAnsi" w:hAnsiTheme="majorHAnsi" w:cstheme="majorHAnsi"/>
              </w:rPr>
              <w:t xml:space="preserve">whether research is in the public interest, e.g. </w:t>
            </w:r>
            <w:r w:rsidR="00AB75ED">
              <w:rPr>
                <w:rFonts w:asciiTheme="majorHAnsi" w:hAnsiTheme="majorHAnsi" w:cstheme="majorHAnsi"/>
              </w:rPr>
              <w:t xml:space="preserve">disagreement within the DAC, </w:t>
            </w:r>
            <w:r w:rsidR="00A01952">
              <w:rPr>
                <w:rFonts w:asciiTheme="majorHAnsi" w:hAnsiTheme="majorHAnsi" w:cstheme="majorHAnsi"/>
              </w:rPr>
              <w:t>borderline cases</w:t>
            </w:r>
            <w:r w:rsidR="00AB75ED">
              <w:rPr>
                <w:rFonts w:asciiTheme="majorHAnsi" w:hAnsiTheme="majorHAnsi" w:cstheme="majorHAnsi"/>
              </w:rPr>
              <w:t xml:space="preserve">, lack of evidence. </w:t>
            </w:r>
          </w:p>
          <w:p w14:paraId="0C3BD729" w14:textId="461B3365" w:rsidR="007D27AD" w:rsidRPr="007D27AD" w:rsidRDefault="00AB75ED" w:rsidP="007D27AD">
            <w:pPr>
              <w:pStyle w:val="ListParagraph"/>
              <w:numPr>
                <w:ilvl w:val="0"/>
                <w:numId w:val="5"/>
              </w:numPr>
              <w:spacing w:line="276" w:lineRule="auto"/>
              <w:rPr>
                <w:rFonts w:asciiTheme="majorHAnsi" w:hAnsiTheme="majorHAnsi" w:cstheme="majorHAnsi"/>
              </w:rPr>
            </w:pPr>
            <w:r>
              <w:rPr>
                <w:rFonts w:asciiTheme="majorHAnsi" w:hAnsiTheme="majorHAnsi" w:cstheme="majorHAnsi"/>
              </w:rPr>
              <w:t xml:space="preserve">Lessons learned from applying the public interest criterion in practice, e.g. </w:t>
            </w:r>
            <w:r w:rsidR="007D27AD" w:rsidRPr="007D27AD">
              <w:rPr>
                <w:rFonts w:asciiTheme="majorHAnsi" w:hAnsiTheme="majorHAnsi" w:cstheme="majorHAnsi"/>
              </w:rPr>
              <w:t>whether they would like to change things about the way they/ the DAC is applying the public interest criterion (in the future)</w:t>
            </w:r>
            <w:r>
              <w:rPr>
                <w:rFonts w:asciiTheme="majorHAnsi" w:hAnsiTheme="majorHAnsi" w:cstheme="majorHAnsi"/>
              </w:rPr>
              <w:t>.</w:t>
            </w:r>
          </w:p>
          <w:p w14:paraId="41DA15A0" w14:textId="4A1411FF" w:rsidR="00863562" w:rsidRPr="007A01BC" w:rsidRDefault="00863562" w:rsidP="007A01BC">
            <w:pPr>
              <w:pStyle w:val="ListParagraph"/>
              <w:numPr>
                <w:ilvl w:val="0"/>
                <w:numId w:val="5"/>
              </w:numPr>
              <w:spacing w:line="276" w:lineRule="auto"/>
              <w:rPr>
                <w:rFonts w:asciiTheme="majorHAnsi" w:hAnsiTheme="majorHAnsi" w:cstheme="majorHAnsi"/>
              </w:rPr>
            </w:pPr>
            <w:r w:rsidRPr="007A01BC">
              <w:rPr>
                <w:rFonts w:asciiTheme="majorHAnsi" w:hAnsiTheme="majorHAnsi" w:cstheme="majorHAnsi"/>
              </w:rPr>
              <w:t xml:space="preserve">Involving </w:t>
            </w:r>
            <w:r w:rsidR="00515823" w:rsidRPr="007A01BC">
              <w:rPr>
                <w:rFonts w:asciiTheme="majorHAnsi" w:hAnsiTheme="majorHAnsi" w:cstheme="majorHAnsi"/>
              </w:rPr>
              <w:t xml:space="preserve">external stakeholders in the judgement of public interest, e.g. </w:t>
            </w:r>
            <w:r w:rsidR="004D6A9F">
              <w:rPr>
                <w:rFonts w:asciiTheme="majorHAnsi" w:hAnsiTheme="majorHAnsi" w:cstheme="majorHAnsi"/>
              </w:rPr>
              <w:t xml:space="preserve">whether </w:t>
            </w:r>
            <w:r w:rsidR="00515823" w:rsidRPr="007A01BC">
              <w:rPr>
                <w:rFonts w:asciiTheme="majorHAnsi" w:hAnsiTheme="majorHAnsi" w:cstheme="majorHAnsi"/>
              </w:rPr>
              <w:t xml:space="preserve">external stakeholders are involved in the public interest review process, who are they, and how, when and why are they </w:t>
            </w:r>
            <w:r w:rsidR="00974C2F">
              <w:rPr>
                <w:rFonts w:asciiTheme="majorHAnsi" w:hAnsiTheme="majorHAnsi" w:cstheme="majorHAnsi"/>
              </w:rPr>
              <w:t xml:space="preserve">being </w:t>
            </w:r>
            <w:r w:rsidR="00515823" w:rsidRPr="007A01BC">
              <w:rPr>
                <w:rFonts w:asciiTheme="majorHAnsi" w:hAnsiTheme="majorHAnsi" w:cstheme="majorHAnsi"/>
              </w:rPr>
              <w:t>involve</w:t>
            </w:r>
            <w:r w:rsidR="004D6A9F">
              <w:rPr>
                <w:rFonts w:asciiTheme="majorHAnsi" w:hAnsiTheme="majorHAnsi" w:cstheme="majorHAnsi"/>
              </w:rPr>
              <w:t>d</w:t>
            </w:r>
            <w:r w:rsidR="00515823" w:rsidRPr="007A01BC">
              <w:rPr>
                <w:rFonts w:asciiTheme="majorHAnsi" w:hAnsiTheme="majorHAnsi" w:cstheme="majorHAnsi"/>
              </w:rPr>
              <w:t xml:space="preserve">. </w:t>
            </w:r>
          </w:p>
          <w:p w14:paraId="4B5E1E8B" w14:textId="77777777" w:rsidR="002F249A" w:rsidRPr="007A01BC" w:rsidRDefault="002F249A" w:rsidP="007A01BC">
            <w:pPr>
              <w:spacing w:line="276" w:lineRule="auto"/>
              <w:rPr>
                <w:rFonts w:asciiTheme="majorHAnsi" w:hAnsiTheme="majorHAnsi" w:cstheme="majorHAnsi"/>
              </w:rPr>
            </w:pPr>
          </w:p>
        </w:tc>
        <w:tc>
          <w:tcPr>
            <w:tcW w:w="1054" w:type="dxa"/>
          </w:tcPr>
          <w:p w14:paraId="74C68B91" w14:textId="77777777" w:rsidR="002F249A" w:rsidRPr="007A01BC" w:rsidRDefault="002F249A" w:rsidP="007A01BC">
            <w:pPr>
              <w:spacing w:line="276" w:lineRule="auto"/>
              <w:rPr>
                <w:rFonts w:asciiTheme="majorHAnsi" w:hAnsiTheme="majorHAnsi" w:cstheme="majorHAnsi"/>
              </w:rPr>
            </w:pPr>
          </w:p>
          <w:p w14:paraId="7FE5280B" w14:textId="77777777" w:rsidR="002F249A" w:rsidRPr="007A01BC" w:rsidRDefault="002F249A" w:rsidP="007A01BC">
            <w:pPr>
              <w:spacing w:line="276" w:lineRule="auto"/>
              <w:rPr>
                <w:rFonts w:asciiTheme="majorHAnsi" w:hAnsiTheme="majorHAnsi" w:cstheme="majorHAnsi"/>
              </w:rPr>
            </w:pPr>
          </w:p>
          <w:p w14:paraId="39F0103D" w14:textId="77777777" w:rsidR="00F27893" w:rsidRPr="007A01BC" w:rsidRDefault="00F27893" w:rsidP="007A01BC">
            <w:pPr>
              <w:spacing w:line="276" w:lineRule="auto"/>
              <w:rPr>
                <w:rFonts w:asciiTheme="majorHAnsi" w:hAnsiTheme="majorHAnsi" w:cstheme="majorHAnsi"/>
              </w:rPr>
            </w:pPr>
          </w:p>
          <w:p w14:paraId="1CB12098" w14:textId="77777777" w:rsidR="007716D1" w:rsidRPr="007A01BC" w:rsidRDefault="007716D1" w:rsidP="007A01BC">
            <w:pPr>
              <w:spacing w:line="276" w:lineRule="auto"/>
              <w:rPr>
                <w:rFonts w:asciiTheme="majorHAnsi" w:hAnsiTheme="majorHAnsi" w:cstheme="majorHAnsi"/>
              </w:rPr>
            </w:pPr>
          </w:p>
          <w:p w14:paraId="23DC8640" w14:textId="77777777" w:rsidR="007A01BC" w:rsidRDefault="007A01BC" w:rsidP="007A01BC">
            <w:pPr>
              <w:spacing w:line="276" w:lineRule="auto"/>
              <w:rPr>
                <w:rFonts w:asciiTheme="majorHAnsi" w:hAnsiTheme="majorHAnsi" w:cstheme="majorHAnsi"/>
              </w:rPr>
            </w:pPr>
          </w:p>
          <w:p w14:paraId="2E3C1269" w14:textId="77777777" w:rsidR="007A01BC" w:rsidRDefault="007A01BC" w:rsidP="007A01BC">
            <w:pPr>
              <w:spacing w:line="276" w:lineRule="auto"/>
              <w:rPr>
                <w:rFonts w:asciiTheme="majorHAnsi" w:hAnsiTheme="majorHAnsi" w:cstheme="majorHAnsi"/>
              </w:rPr>
            </w:pPr>
          </w:p>
          <w:p w14:paraId="6A3C4177" w14:textId="77777777" w:rsidR="007A01BC" w:rsidRDefault="007A01BC" w:rsidP="007A01BC">
            <w:pPr>
              <w:spacing w:line="276" w:lineRule="auto"/>
              <w:rPr>
                <w:rFonts w:asciiTheme="majorHAnsi" w:hAnsiTheme="majorHAnsi" w:cstheme="majorHAnsi"/>
              </w:rPr>
            </w:pPr>
          </w:p>
          <w:p w14:paraId="6C074BD5" w14:textId="77777777" w:rsidR="007A01BC" w:rsidRDefault="007A01BC" w:rsidP="007A01BC">
            <w:pPr>
              <w:spacing w:line="276" w:lineRule="auto"/>
              <w:rPr>
                <w:rFonts w:asciiTheme="majorHAnsi" w:hAnsiTheme="majorHAnsi" w:cstheme="majorHAnsi"/>
              </w:rPr>
            </w:pPr>
          </w:p>
          <w:p w14:paraId="649B51F1" w14:textId="77777777" w:rsidR="006547B7" w:rsidRDefault="006547B7" w:rsidP="007A01BC">
            <w:pPr>
              <w:spacing w:line="276" w:lineRule="auto"/>
              <w:rPr>
                <w:rFonts w:asciiTheme="majorHAnsi" w:hAnsiTheme="majorHAnsi" w:cstheme="majorHAnsi"/>
              </w:rPr>
            </w:pPr>
          </w:p>
          <w:p w14:paraId="5AADA6B6" w14:textId="77777777" w:rsidR="006547B7" w:rsidRDefault="006547B7" w:rsidP="007A01BC">
            <w:pPr>
              <w:spacing w:line="276" w:lineRule="auto"/>
              <w:rPr>
                <w:rFonts w:asciiTheme="majorHAnsi" w:hAnsiTheme="majorHAnsi" w:cstheme="majorHAnsi"/>
              </w:rPr>
            </w:pPr>
          </w:p>
          <w:p w14:paraId="153E1D44" w14:textId="35A37433" w:rsidR="002F249A" w:rsidRPr="007A01BC" w:rsidRDefault="007D27AD" w:rsidP="007A01BC">
            <w:pPr>
              <w:spacing w:line="276" w:lineRule="auto"/>
              <w:rPr>
                <w:rFonts w:asciiTheme="majorHAnsi" w:hAnsiTheme="majorHAnsi" w:cstheme="majorHAnsi"/>
              </w:rPr>
            </w:pPr>
            <w:r>
              <w:rPr>
                <w:rFonts w:asciiTheme="majorHAnsi" w:hAnsiTheme="majorHAnsi" w:cstheme="majorHAnsi"/>
              </w:rPr>
              <w:t>20</w:t>
            </w:r>
            <w:r w:rsidR="002F249A" w:rsidRPr="007A01BC">
              <w:rPr>
                <w:rFonts w:asciiTheme="majorHAnsi" w:hAnsiTheme="majorHAnsi" w:cstheme="majorHAnsi"/>
              </w:rPr>
              <w:t xml:space="preserve"> min. </w:t>
            </w:r>
          </w:p>
        </w:tc>
      </w:tr>
      <w:tr w:rsidR="005E4642" w:rsidRPr="007A01BC" w14:paraId="516C96A9" w14:textId="77777777" w:rsidTr="005776ED">
        <w:tc>
          <w:tcPr>
            <w:tcW w:w="9129" w:type="dxa"/>
            <w:gridSpan w:val="2"/>
            <w:shd w:val="clear" w:color="auto" w:fill="8EAADB" w:themeFill="accent1" w:themeFillTint="99"/>
            <w:vAlign w:val="center"/>
          </w:tcPr>
          <w:p w14:paraId="6577AFD1" w14:textId="77777777" w:rsidR="005776ED" w:rsidRDefault="00F27893" w:rsidP="005776ED">
            <w:pPr>
              <w:pStyle w:val="Heading2"/>
              <w:rPr>
                <w:b/>
                <w:color w:val="auto"/>
              </w:rPr>
            </w:pPr>
            <w:r w:rsidRPr="002D52E9">
              <w:rPr>
                <w:b/>
                <w:color w:val="auto"/>
              </w:rPr>
              <w:br w:type="page"/>
            </w:r>
            <w:r w:rsidR="005E4642" w:rsidRPr="002D52E9">
              <w:rPr>
                <w:b/>
                <w:color w:val="auto"/>
              </w:rPr>
              <w:t xml:space="preserve">Topic </w:t>
            </w:r>
            <w:r w:rsidR="002F249A" w:rsidRPr="002D52E9">
              <w:rPr>
                <w:b/>
                <w:color w:val="auto"/>
              </w:rPr>
              <w:t>3</w:t>
            </w:r>
            <w:r w:rsidR="005E4642" w:rsidRPr="002D52E9">
              <w:rPr>
                <w:b/>
                <w:color w:val="auto"/>
              </w:rPr>
              <w:t xml:space="preserve">. </w:t>
            </w:r>
            <w:r w:rsidR="00974C2F" w:rsidRPr="002D52E9">
              <w:rPr>
                <w:b/>
                <w:color w:val="auto"/>
              </w:rPr>
              <w:t>The public interest of h</w:t>
            </w:r>
            <w:r w:rsidR="005E4642" w:rsidRPr="002D52E9">
              <w:rPr>
                <w:b/>
                <w:color w:val="auto"/>
              </w:rPr>
              <w:t>ypothetical research access request</w:t>
            </w:r>
            <w:r w:rsidR="00974C2F" w:rsidRPr="002D52E9">
              <w:rPr>
                <w:b/>
                <w:color w:val="auto"/>
              </w:rPr>
              <w:t>s</w:t>
            </w:r>
          </w:p>
          <w:p w14:paraId="08A8DE80" w14:textId="222E4704" w:rsidR="005776ED" w:rsidRPr="005776ED" w:rsidRDefault="005776ED" w:rsidP="005776ED"/>
        </w:tc>
      </w:tr>
      <w:tr w:rsidR="001A27E8" w:rsidRPr="007A01BC" w14:paraId="2E864D7F" w14:textId="77777777" w:rsidTr="007A01BC">
        <w:tc>
          <w:tcPr>
            <w:tcW w:w="8075" w:type="dxa"/>
          </w:tcPr>
          <w:p w14:paraId="4DDCBA25" w14:textId="77777777" w:rsidR="005E4642" w:rsidRPr="007A01BC" w:rsidRDefault="005E4642" w:rsidP="007A01BC">
            <w:pPr>
              <w:pStyle w:val="ListParagraph"/>
              <w:spacing w:line="276" w:lineRule="auto"/>
              <w:rPr>
                <w:rFonts w:asciiTheme="majorHAnsi" w:hAnsiTheme="majorHAnsi" w:cstheme="majorHAnsi"/>
              </w:rPr>
            </w:pPr>
          </w:p>
          <w:p w14:paraId="39FC09E9" w14:textId="77777777" w:rsidR="00E0739A" w:rsidRDefault="00E0739A" w:rsidP="00E0739A">
            <w:pPr>
              <w:spacing w:line="276" w:lineRule="auto"/>
              <w:rPr>
                <w:rFonts w:asciiTheme="majorHAnsi" w:hAnsiTheme="majorHAnsi" w:cstheme="majorHAnsi"/>
              </w:rPr>
            </w:pPr>
            <w:r>
              <w:rPr>
                <w:rFonts w:asciiTheme="majorHAnsi" w:hAnsiTheme="majorHAnsi" w:cstheme="majorHAnsi"/>
              </w:rPr>
              <w:t xml:space="preserve">To </w:t>
            </w:r>
            <w:r w:rsidR="00AD7D0F" w:rsidRPr="00E0739A">
              <w:rPr>
                <w:rFonts w:asciiTheme="majorHAnsi" w:hAnsiTheme="majorHAnsi" w:cstheme="majorHAnsi"/>
              </w:rPr>
              <w:t>discuss</w:t>
            </w:r>
            <w:r>
              <w:rPr>
                <w:rFonts w:asciiTheme="majorHAnsi" w:hAnsiTheme="majorHAnsi" w:cstheme="majorHAnsi"/>
              </w:rPr>
              <w:t>:</w:t>
            </w:r>
          </w:p>
          <w:p w14:paraId="2CE67BA7" w14:textId="1E2DAB82" w:rsidR="00A00C0F" w:rsidRDefault="00FD6297" w:rsidP="007A01BC">
            <w:pPr>
              <w:pStyle w:val="ListParagraph"/>
              <w:numPr>
                <w:ilvl w:val="0"/>
                <w:numId w:val="8"/>
              </w:numPr>
              <w:spacing w:line="276" w:lineRule="auto"/>
              <w:rPr>
                <w:rFonts w:asciiTheme="majorHAnsi" w:hAnsiTheme="majorHAnsi" w:cstheme="majorHAnsi"/>
              </w:rPr>
            </w:pPr>
            <w:r>
              <w:rPr>
                <w:rFonts w:asciiTheme="majorHAnsi" w:hAnsiTheme="majorHAnsi" w:cstheme="majorHAnsi"/>
              </w:rPr>
              <w:t>Limits to</w:t>
            </w:r>
            <w:r w:rsidR="00EE4E95">
              <w:rPr>
                <w:rFonts w:asciiTheme="majorHAnsi" w:hAnsiTheme="majorHAnsi" w:cstheme="majorHAnsi"/>
              </w:rPr>
              <w:t xml:space="preserve"> what type of research </w:t>
            </w:r>
            <w:r w:rsidR="00AB75ED">
              <w:rPr>
                <w:rFonts w:asciiTheme="majorHAnsi" w:hAnsiTheme="majorHAnsi" w:cstheme="majorHAnsi"/>
              </w:rPr>
              <w:t>should</w:t>
            </w:r>
            <w:r w:rsidR="00EE4E95">
              <w:rPr>
                <w:rFonts w:asciiTheme="majorHAnsi" w:hAnsiTheme="majorHAnsi" w:cstheme="majorHAnsi"/>
              </w:rPr>
              <w:t xml:space="preserve"> qualify as being in the public interest </w:t>
            </w:r>
            <w:proofErr w:type="gramStart"/>
            <w:r w:rsidR="00EE4E95">
              <w:rPr>
                <w:rFonts w:asciiTheme="majorHAnsi" w:hAnsiTheme="majorHAnsi" w:cstheme="majorHAnsi"/>
              </w:rPr>
              <w:t>on the basis of</w:t>
            </w:r>
            <w:proofErr w:type="gramEnd"/>
            <w:r w:rsidR="00EE4E95">
              <w:rPr>
                <w:rFonts w:asciiTheme="majorHAnsi" w:hAnsiTheme="majorHAnsi" w:cstheme="majorHAnsi"/>
              </w:rPr>
              <w:t xml:space="preserve"> o</w:t>
            </w:r>
            <w:r w:rsidR="007176A7">
              <w:rPr>
                <w:rFonts w:asciiTheme="majorHAnsi" w:hAnsiTheme="majorHAnsi" w:cstheme="majorHAnsi"/>
              </w:rPr>
              <w:t>ne or two</w:t>
            </w:r>
            <w:r w:rsidR="00AD7D0F" w:rsidRPr="00E0739A">
              <w:rPr>
                <w:rFonts w:asciiTheme="majorHAnsi" w:hAnsiTheme="majorHAnsi" w:cstheme="majorHAnsi"/>
              </w:rPr>
              <w:t xml:space="preserve"> </w:t>
            </w:r>
            <w:r w:rsidR="00EE4E95">
              <w:rPr>
                <w:rFonts w:asciiTheme="majorHAnsi" w:hAnsiTheme="majorHAnsi" w:cstheme="majorHAnsi"/>
              </w:rPr>
              <w:t xml:space="preserve">examples of </w:t>
            </w:r>
            <w:r w:rsidR="00AD7D0F" w:rsidRPr="00E0739A">
              <w:rPr>
                <w:rFonts w:asciiTheme="majorHAnsi" w:hAnsiTheme="majorHAnsi" w:cstheme="majorHAnsi"/>
              </w:rPr>
              <w:t>hypothetical data access requests</w:t>
            </w:r>
            <w:r w:rsidR="00EE4E95">
              <w:rPr>
                <w:rFonts w:asciiTheme="majorHAnsi" w:hAnsiTheme="majorHAnsi" w:cstheme="majorHAnsi"/>
              </w:rPr>
              <w:t xml:space="preserve">. </w:t>
            </w:r>
            <w:r w:rsidR="00A00C0F">
              <w:rPr>
                <w:rFonts w:asciiTheme="majorHAnsi" w:hAnsiTheme="majorHAnsi" w:cstheme="majorHAnsi"/>
              </w:rPr>
              <w:t xml:space="preserve">This may include questions about whether the DAC </w:t>
            </w:r>
            <w:r w:rsidR="00246199">
              <w:rPr>
                <w:rFonts w:asciiTheme="majorHAnsi" w:hAnsiTheme="majorHAnsi" w:cstheme="majorHAnsi"/>
              </w:rPr>
              <w:t>of interest</w:t>
            </w:r>
            <w:r w:rsidR="00A00C0F">
              <w:rPr>
                <w:rFonts w:asciiTheme="majorHAnsi" w:hAnsiTheme="majorHAnsi" w:cstheme="majorHAnsi"/>
              </w:rPr>
              <w:t xml:space="preserve"> would review data access requests </w:t>
            </w:r>
            <w:proofErr w:type="gramStart"/>
            <w:r w:rsidR="00246199">
              <w:rPr>
                <w:rFonts w:asciiTheme="majorHAnsi" w:hAnsiTheme="majorHAnsi" w:cstheme="majorHAnsi"/>
              </w:rPr>
              <w:t>similar to</w:t>
            </w:r>
            <w:proofErr w:type="gramEnd"/>
            <w:r w:rsidR="00A00C0F">
              <w:rPr>
                <w:rFonts w:asciiTheme="majorHAnsi" w:hAnsiTheme="majorHAnsi" w:cstheme="majorHAnsi"/>
              </w:rPr>
              <w:t xml:space="preserve"> the </w:t>
            </w:r>
            <w:r w:rsidR="00A84CCF">
              <w:rPr>
                <w:rFonts w:asciiTheme="majorHAnsi" w:hAnsiTheme="majorHAnsi" w:cstheme="majorHAnsi"/>
              </w:rPr>
              <w:t xml:space="preserve">one described in the </w:t>
            </w:r>
            <w:r w:rsidR="00A00C0F">
              <w:rPr>
                <w:rFonts w:asciiTheme="majorHAnsi" w:hAnsiTheme="majorHAnsi" w:cstheme="majorHAnsi"/>
              </w:rPr>
              <w:t xml:space="preserve">hypothetical example, and </w:t>
            </w:r>
            <w:r w:rsidR="00A84CCF">
              <w:rPr>
                <w:rFonts w:asciiTheme="majorHAnsi" w:hAnsiTheme="majorHAnsi" w:cstheme="majorHAnsi"/>
              </w:rPr>
              <w:t>the</w:t>
            </w:r>
            <w:r w:rsidR="00A00C0F">
              <w:rPr>
                <w:rFonts w:asciiTheme="majorHAnsi" w:hAnsiTheme="majorHAnsi" w:cstheme="majorHAnsi"/>
              </w:rPr>
              <w:t xml:space="preserve"> considerations </w:t>
            </w:r>
            <w:r w:rsidR="00A84CCF">
              <w:rPr>
                <w:rFonts w:asciiTheme="majorHAnsi" w:hAnsiTheme="majorHAnsi" w:cstheme="majorHAnsi"/>
              </w:rPr>
              <w:t xml:space="preserve">that </w:t>
            </w:r>
            <w:r w:rsidR="00A00C0F">
              <w:rPr>
                <w:rFonts w:asciiTheme="majorHAnsi" w:hAnsiTheme="majorHAnsi" w:cstheme="majorHAnsi"/>
              </w:rPr>
              <w:t xml:space="preserve">are most important to </w:t>
            </w:r>
            <w:r w:rsidR="00A84CCF">
              <w:rPr>
                <w:rFonts w:asciiTheme="majorHAnsi" w:hAnsiTheme="majorHAnsi" w:cstheme="majorHAnsi"/>
              </w:rPr>
              <w:t>the interviewee</w:t>
            </w:r>
            <w:r w:rsidR="00A00C0F">
              <w:rPr>
                <w:rFonts w:asciiTheme="majorHAnsi" w:hAnsiTheme="majorHAnsi" w:cstheme="majorHAnsi"/>
              </w:rPr>
              <w:t xml:space="preserve"> when deciding on whether </w:t>
            </w:r>
            <w:r w:rsidR="00246199">
              <w:rPr>
                <w:rFonts w:asciiTheme="majorHAnsi" w:hAnsiTheme="majorHAnsi" w:cstheme="majorHAnsi"/>
              </w:rPr>
              <w:t xml:space="preserve">the research </w:t>
            </w:r>
            <w:r w:rsidR="00A00C0F">
              <w:rPr>
                <w:rFonts w:asciiTheme="majorHAnsi" w:hAnsiTheme="majorHAnsi" w:cstheme="majorHAnsi"/>
              </w:rPr>
              <w:t xml:space="preserve">is in the public interest. </w:t>
            </w:r>
          </w:p>
          <w:p w14:paraId="306EE615" w14:textId="77777777" w:rsidR="00A00C0F" w:rsidRDefault="00A00C0F" w:rsidP="00A00C0F">
            <w:pPr>
              <w:spacing w:line="276" w:lineRule="auto"/>
              <w:rPr>
                <w:rFonts w:asciiTheme="majorHAnsi" w:hAnsiTheme="majorHAnsi" w:cstheme="majorHAnsi"/>
              </w:rPr>
            </w:pPr>
          </w:p>
          <w:p w14:paraId="49757695" w14:textId="77777777" w:rsidR="00B835D5" w:rsidRDefault="00B835D5" w:rsidP="00B835D5">
            <w:pPr>
              <w:spacing w:line="276" w:lineRule="auto"/>
              <w:rPr>
                <w:rFonts w:asciiTheme="majorHAnsi" w:hAnsiTheme="majorHAnsi" w:cstheme="majorHAnsi"/>
              </w:rPr>
            </w:pPr>
            <w:r>
              <w:rPr>
                <w:rFonts w:asciiTheme="majorHAnsi" w:hAnsiTheme="majorHAnsi" w:cstheme="majorHAnsi"/>
              </w:rPr>
              <w:t xml:space="preserve">The </w:t>
            </w:r>
            <w:r w:rsidR="003A5083" w:rsidRPr="00A00C0F">
              <w:rPr>
                <w:rFonts w:asciiTheme="majorHAnsi" w:hAnsiTheme="majorHAnsi" w:cstheme="majorHAnsi"/>
              </w:rPr>
              <w:t>hypothetical data access request</w:t>
            </w:r>
            <w:r>
              <w:rPr>
                <w:rFonts w:asciiTheme="majorHAnsi" w:hAnsiTheme="majorHAnsi" w:cstheme="majorHAnsi"/>
              </w:rPr>
              <w:t xml:space="preserve">: </w:t>
            </w:r>
          </w:p>
          <w:p w14:paraId="4409CC1F" w14:textId="751EE46A" w:rsidR="00F239E0" w:rsidRPr="007A01BC" w:rsidRDefault="00B835D5" w:rsidP="00B835D5">
            <w:pPr>
              <w:spacing w:line="276" w:lineRule="auto"/>
              <w:rPr>
                <w:rFonts w:asciiTheme="majorHAnsi" w:hAnsiTheme="majorHAnsi" w:cstheme="majorHAnsi"/>
                <w:b/>
                <w:color w:val="000000" w:themeColor="text1"/>
                <w:lang w:val="en-GB"/>
              </w:rPr>
            </w:pPr>
            <w:r>
              <w:rPr>
                <w:rFonts w:asciiTheme="majorHAnsi" w:hAnsiTheme="majorHAnsi" w:cstheme="majorHAnsi"/>
                <w:b/>
                <w:color w:val="000000" w:themeColor="text1"/>
                <w:lang w:val="en-GB"/>
              </w:rPr>
              <w:t xml:space="preserve">Title: </w:t>
            </w:r>
            <w:r w:rsidR="00AA4095">
              <w:rPr>
                <w:rFonts w:asciiTheme="majorHAnsi" w:hAnsiTheme="majorHAnsi" w:cstheme="majorHAnsi"/>
                <w:b/>
                <w:color w:val="000000" w:themeColor="text1"/>
                <w:lang w:val="en-GB"/>
              </w:rPr>
              <w:t>Genomic d</w:t>
            </w:r>
            <w:r w:rsidR="00F239E0" w:rsidRPr="007A01BC">
              <w:rPr>
                <w:rFonts w:asciiTheme="majorHAnsi" w:hAnsiTheme="majorHAnsi" w:cstheme="majorHAnsi"/>
                <w:b/>
                <w:color w:val="000000" w:themeColor="text1"/>
                <w:lang w:val="en-GB"/>
              </w:rPr>
              <w:t>ata use by Ministry of Education</w:t>
            </w:r>
            <w:r w:rsidR="00052C76">
              <w:rPr>
                <w:rFonts w:asciiTheme="majorHAnsi" w:hAnsiTheme="majorHAnsi" w:cstheme="majorHAnsi"/>
                <w:b/>
                <w:color w:val="000000" w:themeColor="text1"/>
                <w:lang w:val="en-GB"/>
              </w:rPr>
              <w:t>/ Department of Education</w:t>
            </w:r>
            <w:r w:rsidR="00F239E0" w:rsidRPr="007A01BC">
              <w:rPr>
                <w:rFonts w:asciiTheme="majorHAnsi" w:hAnsiTheme="majorHAnsi" w:cstheme="majorHAnsi"/>
                <w:b/>
                <w:color w:val="000000" w:themeColor="text1"/>
                <w:lang w:val="en-GB"/>
              </w:rPr>
              <w:t xml:space="preserve"> to predict education </w:t>
            </w:r>
            <w:r w:rsidR="00C24D97">
              <w:rPr>
                <w:rFonts w:asciiTheme="majorHAnsi" w:hAnsiTheme="majorHAnsi" w:cstheme="majorHAnsi"/>
                <w:b/>
                <w:color w:val="000000" w:themeColor="text1"/>
                <w:lang w:val="en-GB"/>
              </w:rPr>
              <w:t>attainment.</w:t>
            </w:r>
            <w:r w:rsidR="00F239E0" w:rsidRPr="007A01BC">
              <w:rPr>
                <w:rFonts w:asciiTheme="majorHAnsi" w:hAnsiTheme="majorHAnsi" w:cstheme="majorHAnsi"/>
                <w:b/>
                <w:color w:val="000000" w:themeColor="text1"/>
                <w:lang w:val="en-GB"/>
              </w:rPr>
              <w:t xml:space="preserve"> </w:t>
            </w:r>
          </w:p>
          <w:p w14:paraId="512F15DD" w14:textId="77777777" w:rsidR="00F239E0" w:rsidRDefault="00F239E0" w:rsidP="00B835D5">
            <w:pPr>
              <w:spacing w:line="276" w:lineRule="auto"/>
              <w:rPr>
                <w:rFonts w:asciiTheme="majorHAnsi" w:hAnsiTheme="majorHAnsi" w:cstheme="majorHAnsi"/>
                <w:color w:val="000000" w:themeColor="text1"/>
                <w:lang w:val="en-GB"/>
              </w:rPr>
            </w:pPr>
            <w:r w:rsidRPr="007A01BC">
              <w:rPr>
                <w:rFonts w:asciiTheme="majorHAnsi" w:hAnsiTheme="majorHAnsi" w:cstheme="majorHAnsi"/>
                <w:color w:val="000000" w:themeColor="text1"/>
                <w:u w:val="single"/>
                <w:lang w:val="en-GB"/>
              </w:rPr>
              <w:t>Organisation requesting data</w:t>
            </w:r>
            <w:r w:rsidR="00052C76">
              <w:rPr>
                <w:rFonts w:asciiTheme="majorHAnsi" w:hAnsiTheme="majorHAnsi" w:cstheme="majorHAnsi"/>
                <w:color w:val="000000" w:themeColor="text1"/>
                <w:lang w:val="en-GB"/>
              </w:rPr>
              <w:t xml:space="preserve">: </w:t>
            </w:r>
            <w:r w:rsidRPr="007A01BC">
              <w:rPr>
                <w:rFonts w:asciiTheme="majorHAnsi" w:hAnsiTheme="majorHAnsi" w:cstheme="majorHAnsi"/>
                <w:color w:val="000000" w:themeColor="text1"/>
                <w:lang w:val="en-GB"/>
              </w:rPr>
              <w:t xml:space="preserve">Ministry of Education </w:t>
            </w:r>
            <w:r w:rsidR="00CC0AA1">
              <w:rPr>
                <w:rFonts w:asciiTheme="majorHAnsi" w:hAnsiTheme="majorHAnsi" w:cstheme="majorHAnsi"/>
                <w:color w:val="000000" w:themeColor="text1"/>
                <w:lang w:val="en-GB"/>
              </w:rPr>
              <w:t>(Singapore)/ Department of Education (UK</w:t>
            </w:r>
            <w:r w:rsidR="000B319C">
              <w:rPr>
                <w:rFonts w:asciiTheme="majorHAnsi" w:hAnsiTheme="majorHAnsi" w:cstheme="majorHAnsi"/>
                <w:color w:val="000000" w:themeColor="text1"/>
                <w:lang w:val="en-GB"/>
              </w:rPr>
              <w:t>/US</w:t>
            </w:r>
            <w:r w:rsidR="00CC0AA1">
              <w:rPr>
                <w:rFonts w:asciiTheme="majorHAnsi" w:hAnsiTheme="majorHAnsi" w:cstheme="majorHAnsi"/>
                <w:color w:val="000000" w:themeColor="text1"/>
                <w:lang w:val="en-GB"/>
              </w:rPr>
              <w:t>)</w:t>
            </w:r>
            <w:r w:rsidR="00A84CCF">
              <w:rPr>
                <w:rFonts w:asciiTheme="majorHAnsi" w:hAnsiTheme="majorHAnsi" w:cstheme="majorHAnsi"/>
                <w:color w:val="000000" w:themeColor="text1"/>
                <w:lang w:val="en-GB"/>
              </w:rPr>
              <w:t>.</w:t>
            </w:r>
            <w:r w:rsidR="00E0739A">
              <w:rPr>
                <w:rFonts w:asciiTheme="majorHAnsi" w:hAnsiTheme="majorHAnsi" w:cstheme="majorHAnsi"/>
                <w:color w:val="000000" w:themeColor="text1"/>
                <w:lang w:val="en-GB"/>
              </w:rPr>
              <w:t xml:space="preserve"> </w:t>
            </w:r>
            <w:r w:rsidRPr="007A01BC">
              <w:rPr>
                <w:rFonts w:asciiTheme="majorHAnsi" w:hAnsiTheme="majorHAnsi" w:cstheme="majorHAnsi"/>
                <w:color w:val="000000" w:themeColor="text1"/>
                <w:lang w:val="en-GB"/>
              </w:rPr>
              <w:br/>
            </w:r>
            <w:r w:rsidRPr="007A01BC">
              <w:rPr>
                <w:rFonts w:asciiTheme="majorHAnsi" w:hAnsiTheme="majorHAnsi" w:cstheme="majorHAnsi"/>
                <w:color w:val="000000" w:themeColor="text1"/>
                <w:u w:val="single"/>
                <w:lang w:val="en-GB"/>
              </w:rPr>
              <w:lastRenderedPageBreak/>
              <w:t>Data requested:</w:t>
            </w:r>
            <w:r w:rsidRPr="007A01BC">
              <w:rPr>
                <w:rFonts w:asciiTheme="majorHAnsi" w:hAnsiTheme="majorHAnsi" w:cstheme="majorHAnsi"/>
                <w:color w:val="000000" w:themeColor="text1"/>
                <w:lang w:val="en-GB"/>
              </w:rPr>
              <w:t xml:space="preserve"> Genomic data</w:t>
            </w:r>
            <w:r w:rsidR="009D7C50">
              <w:rPr>
                <w:rFonts w:asciiTheme="majorHAnsi" w:hAnsiTheme="majorHAnsi" w:cstheme="majorHAnsi"/>
                <w:color w:val="000000" w:themeColor="text1"/>
                <w:lang w:val="en-GB"/>
              </w:rPr>
              <w:t xml:space="preserve"> stored on the platform to </w:t>
            </w:r>
            <w:r w:rsidRPr="007A01BC">
              <w:rPr>
                <w:rFonts w:asciiTheme="majorHAnsi" w:hAnsiTheme="majorHAnsi" w:cstheme="majorHAnsi"/>
                <w:color w:val="000000" w:themeColor="text1"/>
                <w:lang w:val="en-GB"/>
              </w:rPr>
              <w:t xml:space="preserve">link with </w:t>
            </w:r>
            <w:r w:rsidR="00052C76">
              <w:rPr>
                <w:rFonts w:asciiTheme="majorHAnsi" w:hAnsiTheme="majorHAnsi" w:cstheme="majorHAnsi"/>
                <w:color w:val="000000" w:themeColor="text1"/>
                <w:lang w:val="en-GB"/>
              </w:rPr>
              <w:t xml:space="preserve">the ministry’s/department’s </w:t>
            </w:r>
            <w:r w:rsidR="009D7C50">
              <w:rPr>
                <w:rFonts w:asciiTheme="majorHAnsi" w:hAnsiTheme="majorHAnsi" w:cstheme="majorHAnsi"/>
                <w:color w:val="000000" w:themeColor="text1"/>
                <w:lang w:val="en-GB"/>
              </w:rPr>
              <w:t>own</w:t>
            </w:r>
            <w:r w:rsidRPr="007A01BC">
              <w:rPr>
                <w:rFonts w:asciiTheme="majorHAnsi" w:hAnsiTheme="majorHAnsi" w:cstheme="majorHAnsi"/>
                <w:color w:val="000000" w:themeColor="text1"/>
                <w:lang w:val="en-GB"/>
              </w:rPr>
              <w:t xml:space="preserve"> educational data. </w:t>
            </w:r>
            <w:r w:rsidRPr="007A01BC">
              <w:rPr>
                <w:rFonts w:asciiTheme="majorHAnsi" w:hAnsiTheme="majorHAnsi" w:cstheme="majorHAnsi"/>
                <w:color w:val="000000" w:themeColor="text1"/>
                <w:lang w:val="en-GB"/>
              </w:rPr>
              <w:br/>
            </w:r>
            <w:r w:rsidRPr="007A01BC">
              <w:rPr>
                <w:rFonts w:asciiTheme="majorHAnsi" w:hAnsiTheme="majorHAnsi" w:cstheme="majorHAnsi"/>
                <w:color w:val="000000" w:themeColor="text1"/>
                <w:u w:val="single"/>
                <w:lang w:val="en-GB"/>
              </w:rPr>
              <w:t>Purpose:</w:t>
            </w:r>
            <w:r w:rsidRPr="007A01BC">
              <w:rPr>
                <w:rFonts w:asciiTheme="majorHAnsi" w:hAnsiTheme="majorHAnsi" w:cstheme="majorHAnsi"/>
                <w:color w:val="000000" w:themeColor="text1"/>
                <w:lang w:val="en-GB"/>
              </w:rPr>
              <w:t xml:space="preserve"> Predict </w:t>
            </w:r>
            <w:r w:rsidR="00232CA8">
              <w:rPr>
                <w:rFonts w:asciiTheme="majorHAnsi" w:hAnsiTheme="majorHAnsi" w:cstheme="majorHAnsi"/>
                <w:color w:val="000000" w:themeColor="text1"/>
                <w:lang w:val="en-GB"/>
              </w:rPr>
              <w:t>educational attainment</w:t>
            </w:r>
            <w:r w:rsidRPr="007A01BC">
              <w:rPr>
                <w:rFonts w:asciiTheme="majorHAnsi" w:hAnsiTheme="majorHAnsi" w:cstheme="majorHAnsi"/>
                <w:color w:val="000000" w:themeColor="text1"/>
                <w:lang w:val="en-GB"/>
              </w:rPr>
              <w:t xml:space="preserve"> based on genomic </w:t>
            </w:r>
            <w:r w:rsidR="00232CA8">
              <w:rPr>
                <w:rFonts w:asciiTheme="majorHAnsi" w:hAnsiTheme="majorHAnsi" w:cstheme="majorHAnsi"/>
                <w:color w:val="000000" w:themeColor="text1"/>
                <w:lang w:val="en-GB"/>
              </w:rPr>
              <w:t xml:space="preserve">data </w:t>
            </w:r>
            <w:r w:rsidRPr="007A01BC">
              <w:rPr>
                <w:rFonts w:asciiTheme="majorHAnsi" w:hAnsiTheme="majorHAnsi" w:cstheme="majorHAnsi"/>
                <w:color w:val="000000" w:themeColor="text1"/>
                <w:lang w:val="en-GB"/>
              </w:rPr>
              <w:t xml:space="preserve">to better target educational programmes </w:t>
            </w:r>
            <w:r w:rsidR="00F630BE">
              <w:rPr>
                <w:rFonts w:asciiTheme="majorHAnsi" w:hAnsiTheme="majorHAnsi" w:cstheme="majorHAnsi"/>
                <w:color w:val="000000" w:themeColor="text1"/>
                <w:lang w:val="en-GB"/>
              </w:rPr>
              <w:t>for</w:t>
            </w:r>
            <w:r w:rsidRPr="007A01BC">
              <w:rPr>
                <w:rFonts w:asciiTheme="majorHAnsi" w:hAnsiTheme="majorHAnsi" w:cstheme="majorHAnsi"/>
                <w:color w:val="000000" w:themeColor="text1"/>
                <w:lang w:val="en-GB"/>
              </w:rPr>
              <w:t xml:space="preserve"> children. Prior research showed that genomic information can explain about 12-16% of the variance in educational attainment.</w:t>
            </w:r>
            <w:r w:rsidR="00052C76">
              <w:rPr>
                <w:rStyle w:val="EndnoteReference"/>
                <w:rFonts w:asciiTheme="majorHAnsi" w:hAnsiTheme="majorHAnsi" w:cstheme="majorHAnsi"/>
                <w:color w:val="000000" w:themeColor="text1"/>
                <w:lang w:val="en-GB"/>
              </w:rPr>
              <w:t xml:space="preserve"> </w:t>
            </w:r>
            <w:r w:rsidR="00052C76">
              <w:rPr>
                <w:rStyle w:val="EndnoteReference"/>
                <w:rFonts w:asciiTheme="majorHAnsi" w:hAnsiTheme="majorHAnsi" w:cstheme="majorHAnsi"/>
                <w:color w:val="000000" w:themeColor="text1"/>
                <w:lang w:val="en-GB"/>
              </w:rPr>
              <w:endnoteReference w:id="1"/>
            </w:r>
            <w:r w:rsidRPr="007A01BC">
              <w:rPr>
                <w:rFonts w:asciiTheme="majorHAnsi" w:hAnsiTheme="majorHAnsi" w:cstheme="majorHAnsi"/>
                <w:color w:val="000000" w:themeColor="text1"/>
                <w:lang w:val="en-GB"/>
              </w:rPr>
              <w:t xml:space="preserve"> It is estimated that around half of these prediction levels can be explained by genomic information directly, and the other half by indirect effects of the parents’ genomics on their child’s education. The prediction levels </w:t>
            </w:r>
            <w:proofErr w:type="gramStart"/>
            <w:r w:rsidRPr="007A01BC">
              <w:rPr>
                <w:rFonts w:asciiTheme="majorHAnsi" w:hAnsiTheme="majorHAnsi" w:cstheme="majorHAnsi"/>
                <w:color w:val="000000" w:themeColor="text1"/>
                <w:lang w:val="en-GB"/>
              </w:rPr>
              <w:t>are not able to</w:t>
            </w:r>
            <w:proofErr w:type="gramEnd"/>
            <w:r w:rsidRPr="007A01BC">
              <w:rPr>
                <w:rFonts w:asciiTheme="majorHAnsi" w:hAnsiTheme="majorHAnsi" w:cstheme="majorHAnsi"/>
                <w:color w:val="000000" w:themeColor="text1"/>
                <w:lang w:val="en-GB"/>
              </w:rPr>
              <w:t xml:space="preserve"> predict how far one </w:t>
            </w:r>
            <w:proofErr w:type="gramStart"/>
            <w:r w:rsidRPr="007A01BC">
              <w:rPr>
                <w:rFonts w:asciiTheme="majorHAnsi" w:hAnsiTheme="majorHAnsi" w:cstheme="majorHAnsi"/>
                <w:color w:val="000000" w:themeColor="text1"/>
                <w:lang w:val="en-GB"/>
              </w:rPr>
              <w:t>particular person</w:t>
            </w:r>
            <w:proofErr w:type="gramEnd"/>
            <w:r w:rsidRPr="007A01BC">
              <w:rPr>
                <w:rFonts w:asciiTheme="majorHAnsi" w:hAnsiTheme="majorHAnsi" w:cstheme="majorHAnsi"/>
                <w:color w:val="000000" w:themeColor="text1"/>
                <w:lang w:val="en-GB"/>
              </w:rPr>
              <w:t xml:space="preserve"> goes in education, but they </w:t>
            </w:r>
            <w:proofErr w:type="gramStart"/>
            <w:r w:rsidRPr="007A01BC">
              <w:rPr>
                <w:rFonts w:asciiTheme="majorHAnsi" w:hAnsiTheme="majorHAnsi" w:cstheme="majorHAnsi"/>
                <w:color w:val="000000" w:themeColor="text1"/>
                <w:lang w:val="en-GB"/>
              </w:rPr>
              <w:t>are considered to be</w:t>
            </w:r>
            <w:proofErr w:type="gramEnd"/>
            <w:r w:rsidRPr="007A01BC">
              <w:rPr>
                <w:rFonts w:asciiTheme="majorHAnsi" w:hAnsiTheme="majorHAnsi" w:cstheme="majorHAnsi"/>
                <w:color w:val="000000" w:themeColor="text1"/>
                <w:lang w:val="en-GB"/>
              </w:rPr>
              <w:t xml:space="preserve"> valuable tools in population-level research. </w:t>
            </w:r>
          </w:p>
          <w:p w14:paraId="7E553D28" w14:textId="40259ADA" w:rsidR="005D4061" w:rsidRPr="007A01BC" w:rsidRDefault="005D4061" w:rsidP="00B835D5">
            <w:pPr>
              <w:spacing w:line="276" w:lineRule="auto"/>
              <w:rPr>
                <w:rFonts w:asciiTheme="majorHAnsi" w:hAnsiTheme="majorHAnsi" w:cstheme="majorHAnsi"/>
              </w:rPr>
            </w:pPr>
          </w:p>
        </w:tc>
        <w:tc>
          <w:tcPr>
            <w:tcW w:w="1054" w:type="dxa"/>
          </w:tcPr>
          <w:p w14:paraId="27181BF9" w14:textId="77777777" w:rsidR="001A27E8" w:rsidRPr="007A01BC" w:rsidRDefault="001A27E8" w:rsidP="007A01BC">
            <w:pPr>
              <w:spacing w:line="276" w:lineRule="auto"/>
              <w:rPr>
                <w:rFonts w:asciiTheme="majorHAnsi" w:hAnsiTheme="majorHAnsi" w:cstheme="majorHAnsi"/>
              </w:rPr>
            </w:pPr>
          </w:p>
          <w:p w14:paraId="62F5DD6C" w14:textId="77777777" w:rsidR="005E4642" w:rsidRPr="007A01BC" w:rsidRDefault="005E4642" w:rsidP="007A01BC">
            <w:pPr>
              <w:spacing w:line="276" w:lineRule="auto"/>
              <w:rPr>
                <w:rFonts w:asciiTheme="majorHAnsi" w:hAnsiTheme="majorHAnsi" w:cstheme="majorHAnsi"/>
              </w:rPr>
            </w:pPr>
          </w:p>
          <w:p w14:paraId="0D3C5A65" w14:textId="77777777" w:rsidR="005E4642" w:rsidRPr="007A01BC" w:rsidRDefault="005E4642" w:rsidP="007A01BC">
            <w:pPr>
              <w:spacing w:line="276" w:lineRule="auto"/>
              <w:rPr>
                <w:rFonts w:asciiTheme="majorHAnsi" w:hAnsiTheme="majorHAnsi" w:cstheme="majorHAnsi"/>
              </w:rPr>
            </w:pPr>
          </w:p>
          <w:p w14:paraId="5F648638" w14:textId="77777777" w:rsidR="00AD7D0F" w:rsidRPr="007A01BC" w:rsidRDefault="00AD7D0F" w:rsidP="007A01BC">
            <w:pPr>
              <w:spacing w:line="276" w:lineRule="auto"/>
              <w:rPr>
                <w:rFonts w:asciiTheme="majorHAnsi" w:hAnsiTheme="majorHAnsi" w:cstheme="majorHAnsi"/>
              </w:rPr>
            </w:pPr>
          </w:p>
          <w:p w14:paraId="2E7DEEA8" w14:textId="77777777" w:rsidR="00AD7D0F" w:rsidRPr="007A01BC" w:rsidRDefault="00AD7D0F" w:rsidP="007A01BC">
            <w:pPr>
              <w:spacing w:line="276" w:lineRule="auto"/>
              <w:rPr>
                <w:rFonts w:asciiTheme="majorHAnsi" w:hAnsiTheme="majorHAnsi" w:cstheme="majorHAnsi"/>
              </w:rPr>
            </w:pPr>
          </w:p>
          <w:p w14:paraId="58004051" w14:textId="77777777" w:rsidR="002F249A" w:rsidRPr="007A01BC" w:rsidRDefault="002F249A" w:rsidP="007A01BC">
            <w:pPr>
              <w:spacing w:line="276" w:lineRule="auto"/>
              <w:rPr>
                <w:rFonts w:asciiTheme="majorHAnsi" w:hAnsiTheme="majorHAnsi" w:cstheme="majorHAnsi"/>
              </w:rPr>
            </w:pPr>
          </w:p>
          <w:p w14:paraId="1CB03E9E" w14:textId="77777777" w:rsidR="002F249A" w:rsidRPr="007A01BC" w:rsidRDefault="002F249A" w:rsidP="007A01BC">
            <w:pPr>
              <w:spacing w:line="276" w:lineRule="auto"/>
              <w:rPr>
                <w:rFonts w:asciiTheme="majorHAnsi" w:hAnsiTheme="majorHAnsi" w:cstheme="majorHAnsi"/>
              </w:rPr>
            </w:pPr>
          </w:p>
          <w:p w14:paraId="64796B28" w14:textId="77777777" w:rsidR="006547B7" w:rsidRDefault="006547B7" w:rsidP="007A01BC">
            <w:pPr>
              <w:spacing w:line="276" w:lineRule="auto"/>
              <w:rPr>
                <w:rFonts w:asciiTheme="majorHAnsi" w:hAnsiTheme="majorHAnsi" w:cstheme="majorHAnsi"/>
              </w:rPr>
            </w:pPr>
          </w:p>
          <w:p w14:paraId="6F6FC931" w14:textId="49EB2A0A" w:rsidR="005E4642" w:rsidRPr="007A01BC" w:rsidRDefault="006547B7" w:rsidP="007A01BC">
            <w:pPr>
              <w:spacing w:line="276" w:lineRule="auto"/>
              <w:rPr>
                <w:rFonts w:asciiTheme="majorHAnsi" w:hAnsiTheme="majorHAnsi" w:cstheme="majorHAnsi"/>
              </w:rPr>
            </w:pPr>
            <w:r>
              <w:rPr>
                <w:rFonts w:asciiTheme="majorHAnsi" w:hAnsiTheme="majorHAnsi" w:cstheme="majorHAnsi"/>
              </w:rPr>
              <w:t>20</w:t>
            </w:r>
            <w:r w:rsidR="005E4642" w:rsidRPr="007A01BC">
              <w:rPr>
                <w:rFonts w:asciiTheme="majorHAnsi" w:hAnsiTheme="majorHAnsi" w:cstheme="majorHAnsi"/>
              </w:rPr>
              <w:t xml:space="preserve"> min. </w:t>
            </w:r>
          </w:p>
        </w:tc>
      </w:tr>
      <w:tr w:rsidR="001A27E8" w:rsidRPr="007A01BC" w14:paraId="30F18D53" w14:textId="77777777" w:rsidTr="007A01BC">
        <w:tc>
          <w:tcPr>
            <w:tcW w:w="8075" w:type="dxa"/>
            <w:shd w:val="clear" w:color="auto" w:fill="8EAADB" w:themeFill="accent1" w:themeFillTint="99"/>
          </w:tcPr>
          <w:p w14:paraId="22ABE0E4" w14:textId="36DF5A2E" w:rsidR="001A27E8" w:rsidRDefault="005E4642" w:rsidP="002D52E9">
            <w:pPr>
              <w:pStyle w:val="Heading2"/>
              <w:rPr>
                <w:b/>
                <w:color w:val="auto"/>
              </w:rPr>
            </w:pPr>
            <w:r w:rsidRPr="002D52E9">
              <w:rPr>
                <w:b/>
                <w:color w:val="auto"/>
              </w:rPr>
              <w:t>Concluding remarks</w:t>
            </w:r>
          </w:p>
          <w:p w14:paraId="17A32886" w14:textId="6A6AF3EB" w:rsidR="005776ED" w:rsidRPr="005776ED" w:rsidRDefault="005776ED" w:rsidP="005776ED"/>
        </w:tc>
        <w:tc>
          <w:tcPr>
            <w:tcW w:w="1054" w:type="dxa"/>
            <w:shd w:val="clear" w:color="auto" w:fill="8EAADB" w:themeFill="accent1" w:themeFillTint="99"/>
          </w:tcPr>
          <w:p w14:paraId="69565B18" w14:textId="77777777" w:rsidR="001A27E8" w:rsidRPr="007A01BC" w:rsidRDefault="001A27E8" w:rsidP="007A01BC">
            <w:pPr>
              <w:spacing w:line="276" w:lineRule="auto"/>
              <w:rPr>
                <w:rFonts w:asciiTheme="majorHAnsi" w:hAnsiTheme="majorHAnsi" w:cstheme="majorHAnsi"/>
                <w:b/>
              </w:rPr>
            </w:pPr>
          </w:p>
        </w:tc>
      </w:tr>
      <w:tr w:rsidR="005E4642" w:rsidRPr="007A01BC" w14:paraId="4C582B58" w14:textId="77777777" w:rsidTr="007A01BC">
        <w:tc>
          <w:tcPr>
            <w:tcW w:w="8075" w:type="dxa"/>
          </w:tcPr>
          <w:p w14:paraId="3DC76851" w14:textId="0B39C0DB" w:rsidR="002F249A" w:rsidRDefault="002F249A" w:rsidP="005533A0">
            <w:pPr>
              <w:spacing w:line="276" w:lineRule="auto"/>
              <w:rPr>
                <w:rFonts w:asciiTheme="majorHAnsi" w:hAnsiTheme="majorHAnsi" w:cstheme="majorHAnsi"/>
              </w:rPr>
            </w:pPr>
          </w:p>
          <w:p w14:paraId="41A85033" w14:textId="5B76C05D" w:rsidR="005533A0" w:rsidRPr="005533A0" w:rsidRDefault="005533A0" w:rsidP="005533A0">
            <w:pPr>
              <w:spacing w:line="276" w:lineRule="auto"/>
              <w:rPr>
                <w:rFonts w:asciiTheme="majorHAnsi" w:hAnsiTheme="majorHAnsi" w:cstheme="majorHAnsi"/>
              </w:rPr>
            </w:pPr>
            <w:r>
              <w:rPr>
                <w:rFonts w:asciiTheme="majorHAnsi" w:hAnsiTheme="majorHAnsi" w:cstheme="majorHAnsi"/>
              </w:rPr>
              <w:t>To discuss:</w:t>
            </w:r>
          </w:p>
          <w:p w14:paraId="25F9C9FD" w14:textId="1E3BE0CB" w:rsidR="002F249A" w:rsidRPr="007A01BC" w:rsidRDefault="005533A0" w:rsidP="007A01BC">
            <w:pPr>
              <w:pStyle w:val="ListParagraph"/>
              <w:numPr>
                <w:ilvl w:val="0"/>
                <w:numId w:val="4"/>
              </w:numPr>
              <w:spacing w:line="276" w:lineRule="auto"/>
              <w:rPr>
                <w:rFonts w:asciiTheme="majorHAnsi" w:hAnsiTheme="majorHAnsi" w:cstheme="majorHAnsi"/>
              </w:rPr>
            </w:pPr>
            <w:r>
              <w:rPr>
                <w:rFonts w:asciiTheme="majorHAnsi" w:hAnsiTheme="majorHAnsi" w:cstheme="majorHAnsi"/>
              </w:rPr>
              <w:t>S</w:t>
            </w:r>
            <w:r w:rsidR="003053D2" w:rsidRPr="007A01BC">
              <w:rPr>
                <w:rFonts w:asciiTheme="majorHAnsi" w:hAnsiTheme="majorHAnsi" w:cstheme="majorHAnsi"/>
              </w:rPr>
              <w:t xml:space="preserve">omething left undiscussed that the interviewee would like to mention. </w:t>
            </w:r>
          </w:p>
          <w:p w14:paraId="7AC6AB39" w14:textId="5E0505A4" w:rsidR="002F249A" w:rsidRDefault="005533A0" w:rsidP="007A01BC">
            <w:pPr>
              <w:pStyle w:val="ListParagraph"/>
              <w:numPr>
                <w:ilvl w:val="0"/>
                <w:numId w:val="4"/>
              </w:numPr>
              <w:spacing w:line="276" w:lineRule="auto"/>
              <w:rPr>
                <w:rFonts w:asciiTheme="majorHAnsi" w:hAnsiTheme="majorHAnsi" w:cstheme="majorHAnsi"/>
              </w:rPr>
            </w:pPr>
            <w:r>
              <w:rPr>
                <w:rFonts w:asciiTheme="majorHAnsi" w:hAnsiTheme="majorHAnsi" w:cstheme="majorHAnsi"/>
              </w:rPr>
              <w:t>Q</w:t>
            </w:r>
            <w:r w:rsidR="002F249A" w:rsidRPr="007A01BC">
              <w:rPr>
                <w:rFonts w:asciiTheme="majorHAnsi" w:hAnsiTheme="majorHAnsi" w:cstheme="majorHAnsi"/>
              </w:rPr>
              <w:t>uestions</w:t>
            </w:r>
            <w:r>
              <w:rPr>
                <w:rFonts w:asciiTheme="majorHAnsi" w:hAnsiTheme="majorHAnsi" w:cstheme="majorHAnsi"/>
              </w:rPr>
              <w:t xml:space="preserve"> of</w:t>
            </w:r>
            <w:r w:rsidR="00085DC9">
              <w:rPr>
                <w:rFonts w:asciiTheme="majorHAnsi" w:hAnsiTheme="majorHAnsi" w:cstheme="majorHAnsi"/>
              </w:rPr>
              <w:t xml:space="preserve"> the</w:t>
            </w:r>
            <w:r>
              <w:rPr>
                <w:rFonts w:asciiTheme="majorHAnsi" w:hAnsiTheme="majorHAnsi" w:cstheme="majorHAnsi"/>
              </w:rPr>
              <w:t xml:space="preserve"> interviewee</w:t>
            </w:r>
            <w:r w:rsidR="002F249A" w:rsidRPr="007A01BC">
              <w:rPr>
                <w:rFonts w:asciiTheme="majorHAnsi" w:hAnsiTheme="majorHAnsi" w:cstheme="majorHAnsi"/>
              </w:rPr>
              <w:t xml:space="preserve">.  </w:t>
            </w:r>
          </w:p>
          <w:p w14:paraId="0CDFBB5B" w14:textId="77777777" w:rsidR="005533A0" w:rsidRPr="007A01BC" w:rsidRDefault="005533A0" w:rsidP="005533A0">
            <w:pPr>
              <w:pStyle w:val="ListParagraph"/>
              <w:spacing w:line="276" w:lineRule="auto"/>
              <w:rPr>
                <w:rFonts w:asciiTheme="majorHAnsi" w:hAnsiTheme="majorHAnsi" w:cstheme="majorHAnsi"/>
              </w:rPr>
            </w:pPr>
          </w:p>
          <w:p w14:paraId="32A3B261" w14:textId="77777777" w:rsidR="003053D2" w:rsidRPr="005533A0" w:rsidRDefault="003053D2" w:rsidP="005533A0">
            <w:pPr>
              <w:spacing w:line="276" w:lineRule="auto"/>
              <w:rPr>
                <w:rFonts w:asciiTheme="majorHAnsi" w:hAnsiTheme="majorHAnsi" w:cstheme="majorHAnsi"/>
              </w:rPr>
            </w:pPr>
            <w:r w:rsidRPr="005533A0">
              <w:rPr>
                <w:rFonts w:asciiTheme="majorHAnsi" w:hAnsiTheme="majorHAnsi" w:cstheme="majorHAnsi"/>
              </w:rPr>
              <w:t xml:space="preserve">Thank interviewee again for their time and effort. </w:t>
            </w:r>
          </w:p>
          <w:p w14:paraId="4CFEF2B4" w14:textId="77777777" w:rsidR="005E4642" w:rsidRPr="007A01BC" w:rsidRDefault="005E4642" w:rsidP="007A01BC">
            <w:pPr>
              <w:pStyle w:val="ListParagraph"/>
              <w:spacing w:line="276" w:lineRule="auto"/>
              <w:rPr>
                <w:rFonts w:asciiTheme="majorHAnsi" w:hAnsiTheme="majorHAnsi" w:cstheme="majorHAnsi"/>
              </w:rPr>
            </w:pPr>
          </w:p>
        </w:tc>
        <w:tc>
          <w:tcPr>
            <w:tcW w:w="1054" w:type="dxa"/>
          </w:tcPr>
          <w:p w14:paraId="6BB1B775" w14:textId="77777777" w:rsidR="003053D2" w:rsidRPr="007A01BC" w:rsidRDefault="003053D2" w:rsidP="007A01BC">
            <w:pPr>
              <w:spacing w:line="276" w:lineRule="auto"/>
              <w:rPr>
                <w:rFonts w:asciiTheme="majorHAnsi" w:hAnsiTheme="majorHAnsi" w:cstheme="majorHAnsi"/>
              </w:rPr>
            </w:pPr>
          </w:p>
          <w:p w14:paraId="1BD7FC11" w14:textId="77777777" w:rsidR="003053D2" w:rsidRPr="007A01BC" w:rsidRDefault="003053D2" w:rsidP="007A01BC">
            <w:pPr>
              <w:spacing w:line="276" w:lineRule="auto"/>
              <w:rPr>
                <w:rFonts w:asciiTheme="majorHAnsi" w:hAnsiTheme="majorHAnsi" w:cstheme="majorHAnsi"/>
              </w:rPr>
            </w:pPr>
          </w:p>
          <w:p w14:paraId="0A2BC604" w14:textId="77777777" w:rsidR="005E4642" w:rsidRPr="007A01BC" w:rsidRDefault="005E4642" w:rsidP="007A01BC">
            <w:pPr>
              <w:spacing w:line="276" w:lineRule="auto"/>
              <w:rPr>
                <w:rFonts w:asciiTheme="majorHAnsi" w:hAnsiTheme="majorHAnsi" w:cstheme="majorHAnsi"/>
              </w:rPr>
            </w:pPr>
            <w:r w:rsidRPr="007A01BC">
              <w:rPr>
                <w:rFonts w:asciiTheme="majorHAnsi" w:hAnsiTheme="majorHAnsi" w:cstheme="majorHAnsi"/>
              </w:rPr>
              <w:t xml:space="preserve">5 min. </w:t>
            </w:r>
          </w:p>
        </w:tc>
      </w:tr>
    </w:tbl>
    <w:p w14:paraId="29E12B59" w14:textId="77777777" w:rsidR="00351B64" w:rsidRPr="007A01BC" w:rsidRDefault="00351B64" w:rsidP="007A01BC">
      <w:pPr>
        <w:spacing w:line="276" w:lineRule="auto"/>
        <w:rPr>
          <w:rFonts w:asciiTheme="majorHAnsi" w:hAnsiTheme="majorHAnsi" w:cstheme="majorHAnsi"/>
        </w:rPr>
      </w:pPr>
    </w:p>
    <w:sectPr w:rsidR="00351B64" w:rsidRPr="007A01BC" w:rsidSect="00155DF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14C4" w14:textId="77777777" w:rsidR="00F1159C" w:rsidRDefault="00F1159C" w:rsidP="0084484C">
      <w:pPr>
        <w:spacing w:after="0" w:line="240" w:lineRule="auto"/>
      </w:pPr>
      <w:r>
        <w:separator/>
      </w:r>
    </w:p>
  </w:endnote>
  <w:endnote w:type="continuationSeparator" w:id="0">
    <w:p w14:paraId="1CBBFDB2" w14:textId="77777777" w:rsidR="00F1159C" w:rsidRDefault="00F1159C" w:rsidP="0084484C">
      <w:pPr>
        <w:spacing w:after="0" w:line="240" w:lineRule="auto"/>
      </w:pPr>
      <w:r>
        <w:continuationSeparator/>
      </w:r>
    </w:p>
  </w:endnote>
  <w:endnote w:id="1">
    <w:p w14:paraId="6B4A6C9D" w14:textId="77777777" w:rsidR="00FD6297" w:rsidRPr="005776ED" w:rsidRDefault="00FD6297" w:rsidP="005776ED">
      <w:pPr>
        <w:pStyle w:val="EndnoteText"/>
        <w:jc w:val="both"/>
        <w:rPr>
          <w:rFonts w:ascii="Calibri Light" w:hAnsi="Calibri Light" w:cs="Calibri Light"/>
          <w:lang w:val="en-US"/>
        </w:rPr>
      </w:pPr>
      <w:r w:rsidRPr="005776ED">
        <w:rPr>
          <w:rStyle w:val="EndnoteReference"/>
          <w:rFonts w:ascii="Calibri Light" w:hAnsi="Calibri Light" w:cs="Calibri Light"/>
          <w:sz w:val="22"/>
          <w:szCs w:val="22"/>
        </w:rPr>
        <w:endnoteRef/>
      </w:r>
      <w:r w:rsidRPr="005776ED">
        <w:rPr>
          <w:rFonts w:ascii="Calibri Light" w:hAnsi="Calibri Light" w:cs="Calibri Light"/>
          <w:sz w:val="22"/>
          <w:szCs w:val="22"/>
          <w:lang w:val="nl-NL"/>
        </w:rPr>
        <w:t xml:space="preserve"> Okbay, A., Wu, Y., Wang, N., Jayashankar, H., Bennett, M., Nehzati, S. M., ... </w:t>
      </w:r>
      <w:r w:rsidRPr="005776ED">
        <w:rPr>
          <w:rFonts w:ascii="Calibri Light" w:hAnsi="Calibri Light" w:cs="Calibri Light"/>
          <w:sz w:val="22"/>
          <w:szCs w:val="22"/>
        </w:rPr>
        <w:t>&amp; Esko, T. (2022). Polygenic prediction of educational attainment within and between families from genome-wide association analyses in 3 million individuals. Nature genetics, 54(4), 437-449.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361307"/>
      <w:docPartObj>
        <w:docPartGallery w:val="Page Numbers (Bottom of Page)"/>
        <w:docPartUnique/>
      </w:docPartObj>
    </w:sdtPr>
    <w:sdtEndPr>
      <w:rPr>
        <w:noProof/>
      </w:rPr>
    </w:sdtEndPr>
    <w:sdtContent>
      <w:p w14:paraId="6F656D36" w14:textId="77777777" w:rsidR="00FD6297" w:rsidRDefault="00FD62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B9B3E" w14:textId="77777777" w:rsidR="00FD6297" w:rsidRDefault="00FD6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A33D" w14:textId="77777777" w:rsidR="00F1159C" w:rsidRDefault="00F1159C" w:rsidP="0084484C">
      <w:pPr>
        <w:spacing w:after="0" w:line="240" w:lineRule="auto"/>
      </w:pPr>
      <w:r>
        <w:separator/>
      </w:r>
    </w:p>
  </w:footnote>
  <w:footnote w:type="continuationSeparator" w:id="0">
    <w:p w14:paraId="6314C6F9" w14:textId="77777777" w:rsidR="00F1159C" w:rsidRDefault="00F1159C" w:rsidP="00844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C24"/>
    <w:multiLevelType w:val="hybridMultilevel"/>
    <w:tmpl w:val="C8808B5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7375657"/>
    <w:multiLevelType w:val="hybridMultilevel"/>
    <w:tmpl w:val="2624AE3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7E263F9"/>
    <w:multiLevelType w:val="hybridMultilevel"/>
    <w:tmpl w:val="0F7C66E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B454DE0"/>
    <w:multiLevelType w:val="hybridMultilevel"/>
    <w:tmpl w:val="40C078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FC449F8"/>
    <w:multiLevelType w:val="hybridMultilevel"/>
    <w:tmpl w:val="E9C279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2396B9F"/>
    <w:multiLevelType w:val="hybridMultilevel"/>
    <w:tmpl w:val="3B5A3C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616758A"/>
    <w:multiLevelType w:val="hybridMultilevel"/>
    <w:tmpl w:val="0FBABB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17506B5"/>
    <w:multiLevelType w:val="hybridMultilevel"/>
    <w:tmpl w:val="DD58262C"/>
    <w:lvl w:ilvl="0" w:tplc="48090001">
      <w:start w:val="1"/>
      <w:numFmt w:val="bullet"/>
      <w:lvlText w:val=""/>
      <w:lvlJc w:val="left"/>
      <w:pPr>
        <w:ind w:left="767" w:hanging="360"/>
      </w:pPr>
      <w:rPr>
        <w:rFonts w:ascii="Symbol" w:hAnsi="Symbol" w:hint="default"/>
      </w:rPr>
    </w:lvl>
    <w:lvl w:ilvl="1" w:tplc="48090003" w:tentative="1">
      <w:start w:val="1"/>
      <w:numFmt w:val="bullet"/>
      <w:lvlText w:val="o"/>
      <w:lvlJc w:val="left"/>
      <w:pPr>
        <w:ind w:left="1487" w:hanging="360"/>
      </w:pPr>
      <w:rPr>
        <w:rFonts w:ascii="Courier New" w:hAnsi="Courier New" w:cs="Courier New" w:hint="default"/>
      </w:rPr>
    </w:lvl>
    <w:lvl w:ilvl="2" w:tplc="48090005" w:tentative="1">
      <w:start w:val="1"/>
      <w:numFmt w:val="bullet"/>
      <w:lvlText w:val=""/>
      <w:lvlJc w:val="left"/>
      <w:pPr>
        <w:ind w:left="2207" w:hanging="360"/>
      </w:pPr>
      <w:rPr>
        <w:rFonts w:ascii="Wingdings" w:hAnsi="Wingdings" w:hint="default"/>
      </w:rPr>
    </w:lvl>
    <w:lvl w:ilvl="3" w:tplc="48090001" w:tentative="1">
      <w:start w:val="1"/>
      <w:numFmt w:val="bullet"/>
      <w:lvlText w:val=""/>
      <w:lvlJc w:val="left"/>
      <w:pPr>
        <w:ind w:left="2927" w:hanging="360"/>
      </w:pPr>
      <w:rPr>
        <w:rFonts w:ascii="Symbol" w:hAnsi="Symbol" w:hint="default"/>
      </w:rPr>
    </w:lvl>
    <w:lvl w:ilvl="4" w:tplc="48090003" w:tentative="1">
      <w:start w:val="1"/>
      <w:numFmt w:val="bullet"/>
      <w:lvlText w:val="o"/>
      <w:lvlJc w:val="left"/>
      <w:pPr>
        <w:ind w:left="3647" w:hanging="360"/>
      </w:pPr>
      <w:rPr>
        <w:rFonts w:ascii="Courier New" w:hAnsi="Courier New" w:cs="Courier New" w:hint="default"/>
      </w:rPr>
    </w:lvl>
    <w:lvl w:ilvl="5" w:tplc="48090005" w:tentative="1">
      <w:start w:val="1"/>
      <w:numFmt w:val="bullet"/>
      <w:lvlText w:val=""/>
      <w:lvlJc w:val="left"/>
      <w:pPr>
        <w:ind w:left="4367" w:hanging="360"/>
      </w:pPr>
      <w:rPr>
        <w:rFonts w:ascii="Wingdings" w:hAnsi="Wingdings" w:hint="default"/>
      </w:rPr>
    </w:lvl>
    <w:lvl w:ilvl="6" w:tplc="48090001" w:tentative="1">
      <w:start w:val="1"/>
      <w:numFmt w:val="bullet"/>
      <w:lvlText w:val=""/>
      <w:lvlJc w:val="left"/>
      <w:pPr>
        <w:ind w:left="5087" w:hanging="360"/>
      </w:pPr>
      <w:rPr>
        <w:rFonts w:ascii="Symbol" w:hAnsi="Symbol" w:hint="default"/>
      </w:rPr>
    </w:lvl>
    <w:lvl w:ilvl="7" w:tplc="48090003" w:tentative="1">
      <w:start w:val="1"/>
      <w:numFmt w:val="bullet"/>
      <w:lvlText w:val="o"/>
      <w:lvlJc w:val="left"/>
      <w:pPr>
        <w:ind w:left="5807" w:hanging="360"/>
      </w:pPr>
      <w:rPr>
        <w:rFonts w:ascii="Courier New" w:hAnsi="Courier New" w:cs="Courier New" w:hint="default"/>
      </w:rPr>
    </w:lvl>
    <w:lvl w:ilvl="8" w:tplc="48090005" w:tentative="1">
      <w:start w:val="1"/>
      <w:numFmt w:val="bullet"/>
      <w:lvlText w:val=""/>
      <w:lvlJc w:val="left"/>
      <w:pPr>
        <w:ind w:left="6527" w:hanging="360"/>
      </w:pPr>
      <w:rPr>
        <w:rFonts w:ascii="Wingdings" w:hAnsi="Wingdings" w:hint="default"/>
      </w:rPr>
    </w:lvl>
  </w:abstractNum>
  <w:abstractNum w:abstractNumId="8" w15:restartNumberingAfterBreak="0">
    <w:nsid w:val="6C570AA4"/>
    <w:multiLevelType w:val="hybridMultilevel"/>
    <w:tmpl w:val="2624AE3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840925235">
    <w:abstractNumId w:val="6"/>
  </w:num>
  <w:num w:numId="2" w16cid:durableId="30227189">
    <w:abstractNumId w:val="2"/>
  </w:num>
  <w:num w:numId="3" w16cid:durableId="1041982059">
    <w:abstractNumId w:val="0"/>
  </w:num>
  <w:num w:numId="4" w16cid:durableId="1589652426">
    <w:abstractNumId w:val="5"/>
  </w:num>
  <w:num w:numId="5" w16cid:durableId="748387643">
    <w:abstractNumId w:val="3"/>
  </w:num>
  <w:num w:numId="6" w16cid:durableId="1242981500">
    <w:abstractNumId w:val="1"/>
  </w:num>
  <w:num w:numId="7" w16cid:durableId="270548958">
    <w:abstractNumId w:val="4"/>
  </w:num>
  <w:num w:numId="8" w16cid:durableId="1766610993">
    <w:abstractNumId w:val="7"/>
  </w:num>
  <w:num w:numId="9" w16cid:durableId="702747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87"/>
    <w:rsid w:val="00017883"/>
    <w:rsid w:val="000354A3"/>
    <w:rsid w:val="00047F0C"/>
    <w:rsid w:val="000506B3"/>
    <w:rsid w:val="00052C76"/>
    <w:rsid w:val="00053AFE"/>
    <w:rsid w:val="00085DC9"/>
    <w:rsid w:val="000B319C"/>
    <w:rsid w:val="000C10C9"/>
    <w:rsid w:val="000C25B2"/>
    <w:rsid w:val="000C48B3"/>
    <w:rsid w:val="00111E4D"/>
    <w:rsid w:val="001120FE"/>
    <w:rsid w:val="00113582"/>
    <w:rsid w:val="00117973"/>
    <w:rsid w:val="001211FD"/>
    <w:rsid w:val="001308C2"/>
    <w:rsid w:val="00155DF4"/>
    <w:rsid w:val="00180D5A"/>
    <w:rsid w:val="001A27E8"/>
    <w:rsid w:val="001A2819"/>
    <w:rsid w:val="001A59CA"/>
    <w:rsid w:val="001A7747"/>
    <w:rsid w:val="001B1200"/>
    <w:rsid w:val="001C0306"/>
    <w:rsid w:val="001D757C"/>
    <w:rsid w:val="002119C6"/>
    <w:rsid w:val="002204F5"/>
    <w:rsid w:val="00221991"/>
    <w:rsid w:val="00232CA8"/>
    <w:rsid w:val="0024302A"/>
    <w:rsid w:val="00246199"/>
    <w:rsid w:val="00250D36"/>
    <w:rsid w:val="0026400A"/>
    <w:rsid w:val="00280E46"/>
    <w:rsid w:val="0028255D"/>
    <w:rsid w:val="00283CC9"/>
    <w:rsid w:val="00286518"/>
    <w:rsid w:val="002911F7"/>
    <w:rsid w:val="002C0E3C"/>
    <w:rsid w:val="002C4875"/>
    <w:rsid w:val="002D52E9"/>
    <w:rsid w:val="002E0585"/>
    <w:rsid w:val="002F249A"/>
    <w:rsid w:val="003053D2"/>
    <w:rsid w:val="00336EC9"/>
    <w:rsid w:val="00351B64"/>
    <w:rsid w:val="003525C3"/>
    <w:rsid w:val="0036497B"/>
    <w:rsid w:val="00364C99"/>
    <w:rsid w:val="00383CEA"/>
    <w:rsid w:val="0039544A"/>
    <w:rsid w:val="003A5083"/>
    <w:rsid w:val="003B02B5"/>
    <w:rsid w:val="003D50CE"/>
    <w:rsid w:val="003E673D"/>
    <w:rsid w:val="004066DD"/>
    <w:rsid w:val="00407B7D"/>
    <w:rsid w:val="00415172"/>
    <w:rsid w:val="00416E9C"/>
    <w:rsid w:val="004207A7"/>
    <w:rsid w:val="00440F91"/>
    <w:rsid w:val="0044159A"/>
    <w:rsid w:val="004451A1"/>
    <w:rsid w:val="004A5E0B"/>
    <w:rsid w:val="004B48B4"/>
    <w:rsid w:val="004B74D2"/>
    <w:rsid w:val="004D0B55"/>
    <w:rsid w:val="004D6A9F"/>
    <w:rsid w:val="004E2032"/>
    <w:rsid w:val="004E295A"/>
    <w:rsid w:val="004F782D"/>
    <w:rsid w:val="00515823"/>
    <w:rsid w:val="00516AE7"/>
    <w:rsid w:val="00540403"/>
    <w:rsid w:val="005441C9"/>
    <w:rsid w:val="00544AD1"/>
    <w:rsid w:val="005533A0"/>
    <w:rsid w:val="00560F97"/>
    <w:rsid w:val="0056334A"/>
    <w:rsid w:val="00566AD2"/>
    <w:rsid w:val="005718E2"/>
    <w:rsid w:val="0057212A"/>
    <w:rsid w:val="005776ED"/>
    <w:rsid w:val="005A4E93"/>
    <w:rsid w:val="005A5796"/>
    <w:rsid w:val="005B1318"/>
    <w:rsid w:val="005D22DE"/>
    <w:rsid w:val="005D4061"/>
    <w:rsid w:val="005E4642"/>
    <w:rsid w:val="005F7F20"/>
    <w:rsid w:val="00604172"/>
    <w:rsid w:val="00604A48"/>
    <w:rsid w:val="00614310"/>
    <w:rsid w:val="00620772"/>
    <w:rsid w:val="00633134"/>
    <w:rsid w:val="00650E14"/>
    <w:rsid w:val="006547B7"/>
    <w:rsid w:val="00654A62"/>
    <w:rsid w:val="00662D38"/>
    <w:rsid w:val="00666FC4"/>
    <w:rsid w:val="00667504"/>
    <w:rsid w:val="006725D2"/>
    <w:rsid w:val="00673600"/>
    <w:rsid w:val="00676FBF"/>
    <w:rsid w:val="00682D24"/>
    <w:rsid w:val="00685496"/>
    <w:rsid w:val="006B231B"/>
    <w:rsid w:val="00702A6A"/>
    <w:rsid w:val="00713B2A"/>
    <w:rsid w:val="007176A7"/>
    <w:rsid w:val="00725435"/>
    <w:rsid w:val="00745D6D"/>
    <w:rsid w:val="007619E1"/>
    <w:rsid w:val="00763844"/>
    <w:rsid w:val="007716D1"/>
    <w:rsid w:val="00797312"/>
    <w:rsid w:val="007A01BC"/>
    <w:rsid w:val="007B6F5D"/>
    <w:rsid w:val="007B7249"/>
    <w:rsid w:val="007C17A1"/>
    <w:rsid w:val="007D1EF0"/>
    <w:rsid w:val="007D27AD"/>
    <w:rsid w:val="007D5701"/>
    <w:rsid w:val="007D6C5F"/>
    <w:rsid w:val="007E235D"/>
    <w:rsid w:val="007E4D94"/>
    <w:rsid w:val="007E7445"/>
    <w:rsid w:val="007F40F7"/>
    <w:rsid w:val="00820C14"/>
    <w:rsid w:val="00822835"/>
    <w:rsid w:val="00843028"/>
    <w:rsid w:val="0084484C"/>
    <w:rsid w:val="00863562"/>
    <w:rsid w:val="00881020"/>
    <w:rsid w:val="00886512"/>
    <w:rsid w:val="00891377"/>
    <w:rsid w:val="008B6546"/>
    <w:rsid w:val="008D40E8"/>
    <w:rsid w:val="008D610D"/>
    <w:rsid w:val="008E6640"/>
    <w:rsid w:val="00901C29"/>
    <w:rsid w:val="00903AE1"/>
    <w:rsid w:val="00907D62"/>
    <w:rsid w:val="00913489"/>
    <w:rsid w:val="00921DB2"/>
    <w:rsid w:val="00956740"/>
    <w:rsid w:val="0095688D"/>
    <w:rsid w:val="00974C2F"/>
    <w:rsid w:val="00980FEE"/>
    <w:rsid w:val="00982C50"/>
    <w:rsid w:val="0098362E"/>
    <w:rsid w:val="009A70F1"/>
    <w:rsid w:val="009B53EB"/>
    <w:rsid w:val="009C6C02"/>
    <w:rsid w:val="009D482B"/>
    <w:rsid w:val="009D7C50"/>
    <w:rsid w:val="009E23B2"/>
    <w:rsid w:val="009E417A"/>
    <w:rsid w:val="009E580E"/>
    <w:rsid w:val="009E5AB7"/>
    <w:rsid w:val="00A00C0F"/>
    <w:rsid w:val="00A01952"/>
    <w:rsid w:val="00A32357"/>
    <w:rsid w:val="00A437CD"/>
    <w:rsid w:val="00A61768"/>
    <w:rsid w:val="00A84AB5"/>
    <w:rsid w:val="00A84CCF"/>
    <w:rsid w:val="00A93778"/>
    <w:rsid w:val="00AA4095"/>
    <w:rsid w:val="00AB646C"/>
    <w:rsid w:val="00AB75ED"/>
    <w:rsid w:val="00AC5F78"/>
    <w:rsid w:val="00AD7D0F"/>
    <w:rsid w:val="00AF0852"/>
    <w:rsid w:val="00AF1CBE"/>
    <w:rsid w:val="00AF29E3"/>
    <w:rsid w:val="00B0181A"/>
    <w:rsid w:val="00B22E24"/>
    <w:rsid w:val="00B2510B"/>
    <w:rsid w:val="00B35873"/>
    <w:rsid w:val="00B41D3A"/>
    <w:rsid w:val="00B56387"/>
    <w:rsid w:val="00B565F4"/>
    <w:rsid w:val="00B60EEE"/>
    <w:rsid w:val="00B835D5"/>
    <w:rsid w:val="00B86ECA"/>
    <w:rsid w:val="00B927CB"/>
    <w:rsid w:val="00B92F90"/>
    <w:rsid w:val="00BA7BA7"/>
    <w:rsid w:val="00BB35DD"/>
    <w:rsid w:val="00BB3B14"/>
    <w:rsid w:val="00BD3D6A"/>
    <w:rsid w:val="00BF66AA"/>
    <w:rsid w:val="00BF78E4"/>
    <w:rsid w:val="00C06927"/>
    <w:rsid w:val="00C207D4"/>
    <w:rsid w:val="00C24D97"/>
    <w:rsid w:val="00C46F62"/>
    <w:rsid w:val="00C54966"/>
    <w:rsid w:val="00C61A0E"/>
    <w:rsid w:val="00C64913"/>
    <w:rsid w:val="00C85CFB"/>
    <w:rsid w:val="00CB2D5B"/>
    <w:rsid w:val="00CC0AA1"/>
    <w:rsid w:val="00CC38FE"/>
    <w:rsid w:val="00CD3698"/>
    <w:rsid w:val="00CD3FA2"/>
    <w:rsid w:val="00CF0758"/>
    <w:rsid w:val="00CF0872"/>
    <w:rsid w:val="00CF5654"/>
    <w:rsid w:val="00D01170"/>
    <w:rsid w:val="00D07395"/>
    <w:rsid w:val="00D100DD"/>
    <w:rsid w:val="00D35417"/>
    <w:rsid w:val="00D3767A"/>
    <w:rsid w:val="00D537E7"/>
    <w:rsid w:val="00D63A99"/>
    <w:rsid w:val="00D66FD7"/>
    <w:rsid w:val="00D814A2"/>
    <w:rsid w:val="00D978C2"/>
    <w:rsid w:val="00DA179E"/>
    <w:rsid w:val="00DA2C5E"/>
    <w:rsid w:val="00DA76C8"/>
    <w:rsid w:val="00DB62E2"/>
    <w:rsid w:val="00DC59DF"/>
    <w:rsid w:val="00DC60EF"/>
    <w:rsid w:val="00DE06C9"/>
    <w:rsid w:val="00DF0736"/>
    <w:rsid w:val="00DF3229"/>
    <w:rsid w:val="00E0739A"/>
    <w:rsid w:val="00E218FF"/>
    <w:rsid w:val="00E271AE"/>
    <w:rsid w:val="00E52EAE"/>
    <w:rsid w:val="00E55C7A"/>
    <w:rsid w:val="00E848D9"/>
    <w:rsid w:val="00EB654E"/>
    <w:rsid w:val="00EE2456"/>
    <w:rsid w:val="00EE4E95"/>
    <w:rsid w:val="00EE5E5B"/>
    <w:rsid w:val="00F009E7"/>
    <w:rsid w:val="00F07630"/>
    <w:rsid w:val="00F1159C"/>
    <w:rsid w:val="00F239E0"/>
    <w:rsid w:val="00F2441E"/>
    <w:rsid w:val="00F27893"/>
    <w:rsid w:val="00F40785"/>
    <w:rsid w:val="00F575F7"/>
    <w:rsid w:val="00F630BE"/>
    <w:rsid w:val="00F910A2"/>
    <w:rsid w:val="00FA34B5"/>
    <w:rsid w:val="00FA3574"/>
    <w:rsid w:val="00FA62F2"/>
    <w:rsid w:val="00FC441D"/>
    <w:rsid w:val="00FC4A6E"/>
    <w:rsid w:val="00FC63DE"/>
    <w:rsid w:val="00FD6297"/>
    <w:rsid w:val="00FD778A"/>
    <w:rsid w:val="00FE3F17"/>
    <w:rsid w:val="00FF0E2C"/>
    <w:rsid w:val="00FF43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0F75"/>
  <w15:chartTrackingRefBased/>
  <w15:docId w15:val="{6D270926-17E8-4DD5-9B76-151302F4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74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2B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4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84C"/>
  </w:style>
  <w:style w:type="paragraph" w:styleId="Footer">
    <w:name w:val="footer"/>
    <w:basedOn w:val="Normal"/>
    <w:link w:val="FooterChar"/>
    <w:uiPriority w:val="99"/>
    <w:unhideWhenUsed/>
    <w:rsid w:val="0084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84C"/>
  </w:style>
  <w:style w:type="paragraph" w:styleId="ListParagraph">
    <w:name w:val="List Paragraph"/>
    <w:basedOn w:val="Normal"/>
    <w:uiPriority w:val="34"/>
    <w:qFormat/>
    <w:rsid w:val="0084484C"/>
    <w:pPr>
      <w:ind w:left="720"/>
      <w:contextualSpacing/>
    </w:pPr>
  </w:style>
  <w:style w:type="table" w:styleId="TableGrid">
    <w:name w:val="Table Grid"/>
    <w:basedOn w:val="TableNormal"/>
    <w:uiPriority w:val="39"/>
    <w:rsid w:val="0041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74D2"/>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1A27E8"/>
  </w:style>
  <w:style w:type="character" w:styleId="CommentReference">
    <w:name w:val="annotation reference"/>
    <w:basedOn w:val="DefaultParagraphFont"/>
    <w:uiPriority w:val="99"/>
    <w:semiHidden/>
    <w:unhideWhenUsed/>
    <w:rsid w:val="00113582"/>
    <w:rPr>
      <w:sz w:val="16"/>
      <w:szCs w:val="16"/>
    </w:rPr>
  </w:style>
  <w:style w:type="paragraph" w:styleId="CommentText">
    <w:name w:val="annotation text"/>
    <w:basedOn w:val="Normal"/>
    <w:link w:val="CommentTextChar"/>
    <w:uiPriority w:val="99"/>
    <w:unhideWhenUsed/>
    <w:rsid w:val="00113582"/>
    <w:pPr>
      <w:spacing w:line="240" w:lineRule="auto"/>
    </w:pPr>
    <w:rPr>
      <w:sz w:val="20"/>
      <w:szCs w:val="20"/>
    </w:rPr>
  </w:style>
  <w:style w:type="character" w:customStyle="1" w:styleId="CommentTextChar">
    <w:name w:val="Comment Text Char"/>
    <w:basedOn w:val="DefaultParagraphFont"/>
    <w:link w:val="CommentText"/>
    <w:uiPriority w:val="99"/>
    <w:rsid w:val="00113582"/>
    <w:rPr>
      <w:sz w:val="20"/>
      <w:szCs w:val="20"/>
    </w:rPr>
  </w:style>
  <w:style w:type="paragraph" w:styleId="CommentSubject">
    <w:name w:val="annotation subject"/>
    <w:basedOn w:val="CommentText"/>
    <w:next w:val="CommentText"/>
    <w:link w:val="CommentSubjectChar"/>
    <w:uiPriority w:val="99"/>
    <w:semiHidden/>
    <w:unhideWhenUsed/>
    <w:rsid w:val="00113582"/>
    <w:rPr>
      <w:b/>
      <w:bCs/>
    </w:rPr>
  </w:style>
  <w:style w:type="character" w:customStyle="1" w:styleId="CommentSubjectChar">
    <w:name w:val="Comment Subject Char"/>
    <w:basedOn w:val="CommentTextChar"/>
    <w:link w:val="CommentSubject"/>
    <w:uiPriority w:val="99"/>
    <w:semiHidden/>
    <w:rsid w:val="00113582"/>
    <w:rPr>
      <w:b/>
      <w:bCs/>
      <w:sz w:val="20"/>
      <w:szCs w:val="20"/>
    </w:rPr>
  </w:style>
  <w:style w:type="paragraph" w:styleId="BalloonText">
    <w:name w:val="Balloon Text"/>
    <w:basedOn w:val="Normal"/>
    <w:link w:val="BalloonTextChar"/>
    <w:uiPriority w:val="99"/>
    <w:semiHidden/>
    <w:unhideWhenUsed/>
    <w:rsid w:val="00113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82"/>
    <w:rPr>
      <w:rFonts w:ascii="Segoe UI" w:hAnsi="Segoe UI" w:cs="Segoe UI"/>
      <w:sz w:val="18"/>
      <w:szCs w:val="18"/>
    </w:rPr>
  </w:style>
  <w:style w:type="paragraph" w:styleId="EndnoteText">
    <w:name w:val="endnote text"/>
    <w:basedOn w:val="Normal"/>
    <w:link w:val="EndnoteTextChar"/>
    <w:uiPriority w:val="99"/>
    <w:semiHidden/>
    <w:unhideWhenUsed/>
    <w:rsid w:val="005B13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1318"/>
    <w:rPr>
      <w:sz w:val="20"/>
      <w:szCs w:val="20"/>
    </w:rPr>
  </w:style>
  <w:style w:type="character" w:styleId="EndnoteReference">
    <w:name w:val="endnote reference"/>
    <w:basedOn w:val="DefaultParagraphFont"/>
    <w:uiPriority w:val="99"/>
    <w:semiHidden/>
    <w:unhideWhenUsed/>
    <w:rsid w:val="005B1318"/>
    <w:rPr>
      <w:vertAlign w:val="superscript"/>
    </w:rPr>
  </w:style>
  <w:style w:type="paragraph" w:styleId="Revision">
    <w:name w:val="Revision"/>
    <w:hidden/>
    <w:uiPriority w:val="99"/>
    <w:semiHidden/>
    <w:rsid w:val="00AC5F78"/>
    <w:pPr>
      <w:spacing w:after="0" w:line="240" w:lineRule="auto"/>
    </w:pPr>
  </w:style>
  <w:style w:type="table" w:styleId="GridTable4-Accent6">
    <w:name w:val="Grid Table 4 Accent 6"/>
    <w:basedOn w:val="TableNormal"/>
    <w:uiPriority w:val="49"/>
    <w:rsid w:val="000506B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7D1EF0"/>
    <w:rPr>
      <w:color w:val="0563C1" w:themeColor="hyperlink"/>
      <w:u w:val="single"/>
    </w:rPr>
  </w:style>
  <w:style w:type="character" w:styleId="UnresolvedMention">
    <w:name w:val="Unresolved Mention"/>
    <w:basedOn w:val="DefaultParagraphFont"/>
    <w:uiPriority w:val="99"/>
    <w:semiHidden/>
    <w:unhideWhenUsed/>
    <w:rsid w:val="007D1EF0"/>
    <w:rPr>
      <w:color w:val="605E5C"/>
      <w:shd w:val="clear" w:color="auto" w:fill="E1DFDD"/>
    </w:rPr>
  </w:style>
  <w:style w:type="paragraph" w:styleId="FootnoteText">
    <w:name w:val="footnote text"/>
    <w:basedOn w:val="Normal"/>
    <w:link w:val="FootnoteTextChar"/>
    <w:uiPriority w:val="99"/>
    <w:semiHidden/>
    <w:unhideWhenUsed/>
    <w:rsid w:val="00EE4E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E95"/>
    <w:rPr>
      <w:sz w:val="20"/>
      <w:szCs w:val="20"/>
    </w:rPr>
  </w:style>
  <w:style w:type="character" w:styleId="FootnoteReference">
    <w:name w:val="footnote reference"/>
    <w:basedOn w:val="DefaultParagraphFont"/>
    <w:uiPriority w:val="99"/>
    <w:semiHidden/>
    <w:unhideWhenUsed/>
    <w:rsid w:val="00EE4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EF75-1B3A-4911-B0C5-E7FAAA6E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Smedinga Marthe</dc:creator>
  <cp:keywords/>
  <dc:description/>
  <cp:lastModifiedBy>Toh Hui Jin</cp:lastModifiedBy>
  <cp:revision>10</cp:revision>
  <cp:lastPrinted>2023-09-28T07:29:00Z</cp:lastPrinted>
  <dcterms:created xsi:type="dcterms:W3CDTF">2024-03-14T03:53:00Z</dcterms:created>
  <dcterms:modified xsi:type="dcterms:W3CDTF">2026-05-19T07:58:00Z</dcterms:modified>
</cp:coreProperties>
</file>