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C8A98">
      <w:pPr>
        <w:jc w:val="left"/>
        <w:rPr>
          <w:rFonts w:hint="default" w:ascii="Arial" w:hAnsi="Arial" w:cs="Arial"/>
          <w:b w:val="0"/>
          <w:bCs/>
          <w:sz w:val="22"/>
          <w:szCs w:val="21"/>
        </w:rPr>
      </w:pPr>
      <w:r>
        <w:rPr>
          <w:rFonts w:hint="default" w:ascii="Arial" w:hAnsi="Arial" w:cs="Arial"/>
          <w:b w:val="0"/>
          <w:bCs/>
          <w:sz w:val="22"/>
          <w:szCs w:val="21"/>
        </w:rPr>
        <w:t>Table S2. Results of Sensitivity Analysis</w:t>
      </w:r>
    </w:p>
    <w:p w14:paraId="6D171549">
      <w:pPr>
        <w:jc w:val="center"/>
        <w:rPr>
          <w:b/>
          <w:sz w:val="24"/>
        </w:rPr>
      </w:pPr>
      <w:bookmarkStart w:id="0" w:name="_GoBack"/>
    </w:p>
    <w:bookmarkEnd w:id="0"/>
    <w:tbl>
      <w:tblPr>
        <w:tblStyle w:val="33"/>
        <w:tblW w:w="5000" w:type="pct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774"/>
        <w:gridCol w:w="1675"/>
        <w:gridCol w:w="1482"/>
        <w:gridCol w:w="1303"/>
        <w:gridCol w:w="1272"/>
      </w:tblGrid>
      <w:tr w14:paraId="27C5D71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83CEF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</w:rPr>
            </w:pPr>
            <w:r>
              <w:rPr>
                <w:rFonts w:hint="default" w:ascii="Arial" w:hAnsi="Arial" w:cs="Arial"/>
                <w:b w:val="0"/>
                <w:bCs w:val="0"/>
              </w:rPr>
              <w:t>Analysis Approach</w:t>
            </w:r>
          </w:p>
        </w:tc>
        <w:tc>
          <w:tcPr>
            <w:tcW w:w="1001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BA6435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</w:rPr>
            </w:pPr>
            <w:r>
              <w:rPr>
                <w:rFonts w:hint="default" w:ascii="Arial" w:hAnsi="Arial" w:cs="Arial"/>
                <w:b w:val="0"/>
                <w:bCs w:val="0"/>
              </w:rPr>
              <w:t>Sample Size (Oliceridine Group / Sufentanil Group)</w:t>
            </w:r>
          </w:p>
        </w:tc>
        <w:tc>
          <w:tcPr>
            <w:tcW w:w="945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459EA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</w:rPr>
            </w:pPr>
            <w:r>
              <w:rPr>
                <w:rFonts w:hint="default" w:ascii="Arial" w:hAnsi="Arial" w:cs="Arial"/>
                <w:b w:val="0"/>
                <w:bCs w:val="0"/>
              </w:rPr>
              <w:t>MAP Difference at 5 min After Induction (mmHg, 95% CI)</w:t>
            </w:r>
          </w:p>
        </w:tc>
        <w:tc>
          <w:tcPr>
            <w:tcW w:w="836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A7D1DD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</w:rPr>
            </w:pPr>
            <w:r>
              <w:rPr>
                <w:rFonts w:hint="default" w:ascii="Arial" w:hAnsi="Arial" w:cs="Arial"/>
                <w:b w:val="0"/>
                <w:bCs w:val="0"/>
              </w:rPr>
              <w:t>P Value (MAP Difference)</w:t>
            </w:r>
          </w:p>
        </w:tc>
        <w:tc>
          <w:tcPr>
            <w:tcW w:w="735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E7092C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</w:rPr>
            </w:pPr>
            <w:r>
              <w:rPr>
                <w:rFonts w:hint="default" w:ascii="Arial" w:hAnsi="Arial" w:cs="Arial"/>
                <w:b w:val="0"/>
                <w:bCs w:val="0"/>
              </w:rPr>
              <w:t>OR for Major Adverse Events (95% CI)</w:t>
            </w:r>
          </w:p>
        </w:tc>
        <w:tc>
          <w:tcPr>
            <w:tcW w:w="718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26FA5C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</w:rPr>
            </w:pPr>
            <w:r>
              <w:rPr>
                <w:rFonts w:hint="default" w:ascii="Arial" w:hAnsi="Arial" w:cs="Arial"/>
                <w:b w:val="0"/>
                <w:bCs w:val="0"/>
              </w:rPr>
              <w:t>P Value (Adverse Events)</w:t>
            </w:r>
          </w:p>
        </w:tc>
      </w:tr>
      <w:tr w14:paraId="67F94C7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E31A21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Primary Analysis (Caliper = 0.1)</w:t>
            </w:r>
          </w:p>
        </w:tc>
        <w:tc>
          <w:tcPr>
            <w:tcW w:w="1001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CA613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71/71</w:t>
            </w:r>
          </w:p>
        </w:tc>
        <w:tc>
          <w:tcPr>
            <w:tcW w:w="945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CFF2EB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8.7 (5.2, 12.2)</w:t>
            </w:r>
          </w:p>
        </w:tc>
        <w:tc>
          <w:tcPr>
            <w:tcW w:w="836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0BEB4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735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694031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0.36 (0.19, 0.68)</w:t>
            </w:r>
          </w:p>
        </w:tc>
        <w:tc>
          <w:tcPr>
            <w:tcW w:w="718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2BED99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0.002</w:t>
            </w:r>
          </w:p>
        </w:tc>
      </w:tr>
      <w:tr w14:paraId="3EF3E5F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6734FC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Caliper = 0.05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27886A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62/62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581232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9.1 (5.4, 12.8)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10790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B23F65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0.33 (0.16, 0.67)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E7D955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0.002</w:t>
            </w:r>
          </w:p>
        </w:tc>
      </w:tr>
      <w:tr w14:paraId="1DD7D97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D6EB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Caliper = 0.2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F1463B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78/78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EE2C38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8.3 (4.9, 11.7)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B1CE96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C40FA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0.39 (0.21, 0.72)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DEAD6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0.003</w:t>
            </w:r>
          </w:p>
        </w:tc>
      </w:tr>
      <w:tr w14:paraId="39850A93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0CA15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1:2 Matching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276A30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71/142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42E011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8.5 (5.1, 11.9)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208F09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2B29F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0.38 (0.22, 0.66)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43847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0.001</w:t>
            </w:r>
          </w:p>
        </w:tc>
      </w:tr>
      <w:tr w14:paraId="3742004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2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D97681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Exclusion of Extreme Values *</w:t>
            </w:r>
          </w:p>
        </w:tc>
        <w:tc>
          <w:tcPr>
            <w:tcW w:w="1001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0A3F1A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67/66</w:t>
            </w:r>
          </w:p>
        </w:tc>
        <w:tc>
          <w:tcPr>
            <w:tcW w:w="945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62F677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8.9 (5.3, 12.5)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3F5D47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&lt; 0.001</w:t>
            </w:r>
          </w:p>
        </w:tc>
        <w:tc>
          <w:tcPr>
            <w:tcW w:w="735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9AAD7E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0.34 (0.17, 0.67)</w:t>
            </w:r>
          </w:p>
        </w:tc>
        <w:tc>
          <w:tcPr>
            <w:tcW w:w="718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42451A">
            <w:pPr>
              <w:spacing w:after="0" w:line="240" w:lineRule="auto"/>
              <w:jc w:val="both"/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hint="default" w:ascii="Arial" w:hAnsi="Arial" w:cs="Arial"/>
                <w:b w:val="0"/>
                <w:bCs w:val="0"/>
                <w:sz w:val="20"/>
                <w:szCs w:val="20"/>
              </w:rPr>
              <w:t>0.002</w:t>
            </w:r>
          </w:p>
        </w:tc>
      </w:tr>
    </w:tbl>
    <w:p w14:paraId="4142216C"/>
    <w:p w14:paraId="5F25E0F6">
      <w:pPr>
        <w:rPr>
          <w:rFonts w:hint="default" w:ascii="Arial" w:hAnsi="Arial" w:cs="Arial"/>
          <w:sz w:val="16"/>
          <w:szCs w:val="16"/>
        </w:rPr>
      </w:pPr>
      <w:r>
        <w:rPr>
          <w:rFonts w:hint="default" w:ascii="Arial" w:hAnsi="Arial" w:cs="Arial"/>
          <w:sz w:val="16"/>
          <w:szCs w:val="16"/>
        </w:rPr>
        <w:t>Note: * Excluded extreme values where mean arterial pressure (MAP) &lt; 50 mmHg or &gt; 120 mmHg after anesthesia induction. OR, odds ratio; CI, confidence interval; MAP, mean arterial pressure.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78111D3"/>
    <w:rsid w:val="0D81507C"/>
    <w:rsid w:val="137D456D"/>
    <w:rsid w:val="17F766B3"/>
    <w:rsid w:val="31E22A36"/>
    <w:rsid w:val="48166B3E"/>
    <w:rsid w:val="547A0454"/>
    <w:rsid w:val="6AF37D6D"/>
    <w:rsid w:val="72DB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680</Characters>
  <Lines>0</Lines>
  <Paragraphs>0</Paragraphs>
  <TotalTime>0</TotalTime>
  <ScaleCrop>false</ScaleCrop>
  <LinksUpToDate>false</LinksUpToDate>
  <CharactersWithSpaces>780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WPS_1763372012</cp:lastModifiedBy>
  <dcterms:modified xsi:type="dcterms:W3CDTF">2026-04-28T12:25:45Z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eyJoZGlkIjoiZjFmZWIzNDg2MmIzZjExOTIzMmViNTBmYTMwYTk0ZWYiLCJ1c2VySWQiOiIxNzcxNzEzNzUxIn0=</vt:lpwstr>
  </property>
  <property fmtid="{D5CDD505-2E9C-101B-9397-08002B2CF9AE}" pid="3" name="KSOProductBuildVer">
    <vt:lpwstr>2052-12.1.0.25865</vt:lpwstr>
  </property>
  <property fmtid="{D5CDD505-2E9C-101B-9397-08002B2CF9AE}" pid="4" name="ICV">
    <vt:lpwstr>8DC3ACB402D1495BA803D6AEAB7CB0C9_12</vt:lpwstr>
  </property>
</Properties>
</file>