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65439">
      <w:pPr>
        <w:jc w:val="left"/>
        <w:rPr>
          <w:rFonts w:hint="default" w:ascii="Arial" w:hAnsi="Arial" w:cs="Arial"/>
          <w:b w:val="0"/>
          <w:bCs/>
          <w:sz w:val="22"/>
          <w:szCs w:val="21"/>
        </w:rPr>
      </w:pPr>
      <w:r>
        <w:rPr>
          <w:rFonts w:hint="default" w:ascii="Arial" w:hAnsi="Arial" w:cs="Arial"/>
          <w:b w:val="0"/>
          <w:bCs/>
          <w:sz w:val="22"/>
          <w:szCs w:val="21"/>
        </w:rPr>
        <w:t>Table S1. Analysis of Mean Arterial Pressure Differences at 5 min After Anesthesia Induction Across Subgroups</w:t>
      </w:r>
    </w:p>
    <w:p w14:paraId="01648769">
      <w:pPr>
        <w:jc w:val="center"/>
        <w:rPr>
          <w:b/>
          <w:sz w:val="24"/>
        </w:rPr>
      </w:pPr>
    </w:p>
    <w:tbl>
      <w:tblPr>
        <w:tblStyle w:val="33"/>
        <w:tblW w:w="5000" w:type="pct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5"/>
        <w:gridCol w:w="2460"/>
        <w:gridCol w:w="1788"/>
        <w:gridCol w:w="1505"/>
        <w:gridCol w:w="1538"/>
      </w:tblGrid>
      <w:tr w14:paraId="5AA7E8E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2F88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</w:rPr>
            </w:pPr>
            <w:bookmarkStart w:id="0" w:name="_GoBack"/>
            <w:r>
              <w:rPr>
                <w:rFonts w:hint="default" w:ascii="Arial" w:hAnsi="Arial" w:cs="Arial"/>
                <w:b w:val="0"/>
                <w:bCs w:val="0"/>
              </w:rPr>
              <w:t>Subgroup</w:t>
            </w:r>
          </w:p>
        </w:tc>
        <w:tc>
          <w:tcPr>
            <w:tcW w:w="1388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5FAD0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</w:rPr>
            </w:pPr>
            <w:r>
              <w:rPr>
                <w:rFonts w:hint="default" w:ascii="Arial" w:hAnsi="Arial" w:cs="Arial"/>
                <w:b w:val="0"/>
                <w:bCs w:val="0"/>
              </w:rPr>
              <w:t>Number of Cases (Oliceridine Group / Sufentanil Group)</w:t>
            </w:r>
          </w:p>
        </w:tc>
        <w:tc>
          <w:tcPr>
            <w:tcW w:w="1009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0D93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</w:rPr>
            </w:pPr>
            <w:r>
              <w:rPr>
                <w:rFonts w:hint="default" w:ascii="Arial" w:hAnsi="Arial" w:cs="Arial"/>
                <w:b w:val="0"/>
                <w:bCs w:val="0"/>
              </w:rPr>
              <w:t>MAP Difference (mmHg, 95% CI)</w:t>
            </w:r>
          </w:p>
        </w:tc>
        <w:tc>
          <w:tcPr>
            <w:tcW w:w="849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429076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</w:rPr>
            </w:pPr>
            <w:r>
              <w:rPr>
                <w:rFonts w:hint="default" w:ascii="Arial" w:hAnsi="Arial" w:cs="Arial"/>
                <w:b w:val="0"/>
                <w:bCs w:val="0"/>
              </w:rPr>
              <w:t>Between-Group P Value</w:t>
            </w:r>
          </w:p>
        </w:tc>
        <w:tc>
          <w:tcPr>
            <w:tcW w:w="868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D8AF3A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</w:rPr>
            </w:pPr>
            <w:r>
              <w:rPr>
                <w:rFonts w:hint="default" w:ascii="Arial" w:hAnsi="Arial" w:cs="Arial"/>
                <w:b w:val="0"/>
                <w:bCs w:val="0"/>
              </w:rPr>
              <w:t>Interaction P Value</w:t>
            </w:r>
          </w:p>
        </w:tc>
      </w:tr>
      <w:tr w14:paraId="7F462C0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1994A2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Overall</w:t>
            </w:r>
          </w:p>
        </w:tc>
        <w:tc>
          <w:tcPr>
            <w:tcW w:w="1388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E8EA82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71/71</w:t>
            </w:r>
          </w:p>
        </w:tc>
        <w:tc>
          <w:tcPr>
            <w:tcW w:w="1009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A0F70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8.7 (5.2, 12.2)</w:t>
            </w:r>
          </w:p>
        </w:tc>
        <w:tc>
          <w:tcPr>
            <w:tcW w:w="849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8C5C13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868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D2154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-</w:t>
            </w:r>
          </w:p>
        </w:tc>
      </w:tr>
      <w:tr w14:paraId="0D2F75A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073B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Atrial Fibrillation Type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E16E04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51F512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A26FA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6DEF8C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0.032</w:t>
            </w:r>
          </w:p>
        </w:tc>
      </w:tr>
      <w:tr w14:paraId="674A3F3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F79A2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Paroxysmal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775D7C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34/36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6AB9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6.8 (2.1, 11.5)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4D3204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0.005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E42962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</w:tr>
      <w:tr w14:paraId="0A6AA11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8CFA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Persistent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F7FC65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37/35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405ED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10.5 (6.1, 14.9)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A6EDF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2DBE36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</w:tr>
      <w:tr w14:paraId="48BF965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504D8C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Age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22CE7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38D540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E3034F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E9D46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0.217</w:t>
            </w:r>
          </w:p>
        </w:tc>
      </w:tr>
      <w:tr w14:paraId="7B76D6C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EF341F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&lt;65 Years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D3BB9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32/30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40A07F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7.9 (3.4, 12.4)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130CC9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0.001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D2B36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</w:tr>
      <w:tr w14:paraId="5210E20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45C1DF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≥65 Years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E13ED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39/41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26BA7A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9.2 (4.8, 13.6)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7F0439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B2A93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</w:tr>
      <w:tr w14:paraId="7282288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3EF82B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ASA Class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4BAF0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32D8BF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BBAF93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C052F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0.189</w:t>
            </w:r>
          </w:p>
        </w:tc>
      </w:tr>
      <w:tr w14:paraId="199CEDF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40FF44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Class II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0D3EF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50/52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E994F6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7.5 (3.6, 11.4)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2153D6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34945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</w:tr>
      <w:tr w14:paraId="3D1EF47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1429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Class III-IV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B30F9B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21/19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DD3C94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11.3 (5.7, 16.9)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50CC94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49D95A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</w:tr>
      <w:tr w14:paraId="7B5D90F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73ADAD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Hypertension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508ED3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383696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ABC5C4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5A89C2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0.254</w:t>
            </w:r>
          </w:p>
        </w:tc>
      </w:tr>
      <w:tr w14:paraId="28CC9DD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0E2B0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2895B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31/29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CBA21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7.2 (2.5, 11.9)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DFC27C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0.003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A63059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</w:tr>
      <w:tr w14:paraId="392F114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2E2B76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9CC8D5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40/42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F10BC5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9.5 (5.1, 13.9)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5FFD5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8F63AC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</w:tr>
      <w:tr w14:paraId="678C85A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9AEEB4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Diabetes Mellitus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4D2A7E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E51BAC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2AFF27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E1271F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0.312</w:t>
            </w:r>
          </w:p>
        </w:tc>
      </w:tr>
      <w:tr w14:paraId="7658EB3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7CB69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D35820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55/53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0362E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8.2 (4.5, 11.9)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1BA3F7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3DB6F6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</w:tr>
      <w:tr w14:paraId="3D9F909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3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4C7CAA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1388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95DF9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16/18</w:t>
            </w:r>
          </w:p>
        </w:tc>
        <w:tc>
          <w:tcPr>
            <w:tcW w:w="1009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66545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10.1 (4.3, 15.9)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8DE50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0.001</w:t>
            </w:r>
          </w:p>
        </w:tc>
        <w:tc>
          <w:tcPr>
            <w:tcW w:w="868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4637A">
            <w:pPr>
              <w:spacing w:after="0" w:line="240" w:lineRule="auto"/>
              <w:jc w:val="both"/>
              <w:rPr>
                <w:rFonts w:hint="default" w:ascii="Arial" w:hAnsi="Arial" w:eastAsia="宋体" w:cs="Arial"/>
                <w:b w:val="0"/>
                <w:bCs w:val="0"/>
                <w:sz w:val="20"/>
                <w:szCs w:val="20"/>
                <w:lang w:eastAsia="zh-CN"/>
              </w:rPr>
            </w:pPr>
          </w:p>
        </w:tc>
      </w:tr>
      <w:bookmarkEnd w:id="0"/>
    </w:tbl>
    <w:p w14:paraId="4D9B5E20"/>
    <w:p w14:paraId="1EE32771">
      <w:pPr>
        <w:jc w:val="left"/>
        <w:rPr>
          <w:rFonts w:hint="default" w:ascii="Arial" w:hAnsi="Arial" w:cs="Arial"/>
          <w:sz w:val="16"/>
          <w:szCs w:val="21"/>
        </w:rPr>
      </w:pPr>
      <w:r>
        <w:rPr>
          <w:rFonts w:hint="default" w:ascii="Arial" w:hAnsi="Arial" w:cs="Arial"/>
          <w:sz w:val="16"/>
          <w:szCs w:val="21"/>
        </w:rPr>
        <w:t>Note: MAP, mean arterial pressure; CI, confidence interval.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72B7CD8"/>
    <w:rsid w:val="2E042105"/>
    <w:rsid w:val="33C949C9"/>
    <w:rsid w:val="3C9E48D2"/>
    <w:rsid w:val="54FC530D"/>
    <w:rsid w:val="58BE36DC"/>
    <w:rsid w:val="66F9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683</Characters>
  <Lines>0</Lines>
  <Paragraphs>0</Paragraphs>
  <TotalTime>0</TotalTime>
  <ScaleCrop>false</ScaleCrop>
  <LinksUpToDate>false</LinksUpToDate>
  <CharactersWithSpaces>757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WPS_1763372012</cp:lastModifiedBy>
  <dcterms:modified xsi:type="dcterms:W3CDTF">2026-04-28T12:25:35Z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eyJoZGlkIjoiZjFmZWIzNDg2MmIzZjExOTIzMmViNTBmYTMwYTk0ZWYiLCJ1c2VySWQiOiIxNzcxNzEzNzUxIn0=</vt:lpwstr>
  </property>
  <property fmtid="{D5CDD505-2E9C-101B-9397-08002B2CF9AE}" pid="3" name="KSOProductBuildVer">
    <vt:lpwstr>2052-12.1.0.25865</vt:lpwstr>
  </property>
  <property fmtid="{D5CDD505-2E9C-101B-9397-08002B2CF9AE}" pid="4" name="ICV">
    <vt:lpwstr>4C1A49FFE2374F17AB1A08FDD8B0BA81_12</vt:lpwstr>
  </property>
</Properties>
</file>