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8ED1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66D6573" w14:textId="77777777" w:rsidR="001E4854" w:rsidRPr="00141E3F" w:rsidRDefault="001E4854" w:rsidP="001E4854">
      <w:pPr>
        <w:tabs>
          <w:tab w:val="left" w:pos="1050"/>
        </w:tabs>
        <w:rPr>
          <w:rFonts w:ascii="Arial" w:hAnsi="Arial" w:cs="Arial"/>
          <w:b/>
          <w:bCs/>
          <w:sz w:val="22"/>
          <w:szCs w:val="22"/>
        </w:rPr>
      </w:pPr>
      <w:r w:rsidRPr="00141E3F">
        <w:rPr>
          <w:rFonts w:ascii="Arial" w:hAnsi="Arial" w:cs="Arial"/>
          <w:b/>
          <w:bCs/>
          <w:sz w:val="22"/>
          <w:szCs w:val="22"/>
        </w:rPr>
        <w:t>Table 1</w:t>
      </w:r>
      <w:r>
        <w:rPr>
          <w:rFonts w:ascii="Arial" w:hAnsi="Arial" w:cs="Arial"/>
          <w:b/>
          <w:bCs/>
          <w:sz w:val="22"/>
          <w:szCs w:val="22"/>
        </w:rPr>
        <w:t xml:space="preserve">: </w:t>
      </w:r>
      <w:r w:rsidRPr="00141E3F">
        <w:rPr>
          <w:rFonts w:ascii="Arial" w:hAnsi="Arial" w:cs="Arial"/>
          <w:b/>
          <w:bCs/>
          <w:sz w:val="22"/>
          <w:szCs w:val="22"/>
        </w:rPr>
        <w:t>Distribution of sociodemographic characteristics of study participants(n=224)</w:t>
      </w:r>
    </w:p>
    <w:p w14:paraId="6DD9C69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FC5E78">
        <w:rPr>
          <w:noProof/>
          <w:highlight w:val="cyan"/>
        </w:rPr>
        <w:drawing>
          <wp:inline distT="0" distB="0" distL="0" distR="0" wp14:anchorId="675A0DC0" wp14:editId="04CE6DA6">
            <wp:extent cx="5759450" cy="5759450"/>
            <wp:effectExtent l="0" t="0" r="0" b="0"/>
            <wp:docPr id="9651494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A56D1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356251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AD94C6E" w14:textId="77777777" w:rsidR="001E4854" w:rsidRPr="00E764DE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1D17DB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CCF7C6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EE4C02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8AD7E4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2D1396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F945B0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9749B8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97FFD5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E269DEA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A84F36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97A5E4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67FBBE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D58A59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CD6A5A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19D7F8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232876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780819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7F7256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F622A0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3F2E09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C53B2B7" w14:textId="3E735878" w:rsidR="001E4854" w:rsidRPr="001E4854" w:rsidRDefault="001E4854" w:rsidP="001E4854">
      <w:pPr>
        <w:tabs>
          <w:tab w:val="left" w:pos="1050"/>
        </w:tabs>
        <w:rPr>
          <w:rFonts w:ascii="Arial" w:hAnsi="Arial" w:cs="Arial"/>
          <w:b/>
          <w:bCs/>
          <w:sz w:val="22"/>
          <w:szCs w:val="22"/>
        </w:rPr>
      </w:pPr>
      <w:r w:rsidRPr="00141E3F">
        <w:rPr>
          <w:rFonts w:ascii="Arial" w:hAnsi="Arial" w:cs="Arial"/>
          <w:b/>
          <w:bCs/>
          <w:sz w:val="22"/>
          <w:szCs w:val="22"/>
        </w:rPr>
        <w:t>Table: Distribution of physical parameters among study participants(n=224)</w:t>
      </w:r>
      <w:r w:rsidRPr="00755C3B">
        <w:rPr>
          <w:noProof/>
          <w:highlight w:val="cyan"/>
        </w:rPr>
        <w:drawing>
          <wp:inline distT="0" distB="0" distL="0" distR="0" wp14:anchorId="7E51262F" wp14:editId="0A32D1B6">
            <wp:extent cx="5759450" cy="2724150"/>
            <wp:effectExtent l="0" t="0" r="0" b="0"/>
            <wp:docPr id="1807817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BD5A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53FF98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253862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94F8C0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BBB78A7" w14:textId="77777777" w:rsidR="001E4854" w:rsidRDefault="001E4854" w:rsidP="001E4854">
      <w:pPr>
        <w:tabs>
          <w:tab w:val="left" w:pos="1050"/>
        </w:tabs>
        <w:rPr>
          <w:highlight w:val="cyan"/>
        </w:rPr>
      </w:pPr>
    </w:p>
    <w:p w14:paraId="72107A87" w14:textId="77777777" w:rsidR="001E4854" w:rsidRPr="00141E3F" w:rsidRDefault="001E4854" w:rsidP="001E4854">
      <w:pPr>
        <w:tabs>
          <w:tab w:val="left" w:pos="1050"/>
        </w:tabs>
        <w:rPr>
          <w:b/>
          <w:bCs/>
        </w:rPr>
      </w:pPr>
      <w:r w:rsidRPr="00141E3F">
        <w:rPr>
          <w:b/>
          <w:bCs/>
        </w:rPr>
        <w:lastRenderedPageBreak/>
        <w:t xml:space="preserve">Table 3: </w:t>
      </w:r>
      <w:r>
        <w:rPr>
          <w:b/>
          <w:bCs/>
        </w:rPr>
        <w:t>F</w:t>
      </w:r>
      <w:r w:rsidRPr="00141E3F">
        <w:rPr>
          <w:b/>
          <w:bCs/>
        </w:rPr>
        <w:t>irst -trimester hormonal parameters among study participants (n=224)</w:t>
      </w:r>
    </w:p>
    <w:p w14:paraId="7D39816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5AA3F7AD" wp14:editId="5F618967">
            <wp:extent cx="5759450" cy="2235200"/>
            <wp:effectExtent l="0" t="0" r="0" b="0"/>
            <wp:docPr id="126160303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26501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2DA7B9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DD2C5E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9FFD8AF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7289C4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BFFF61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590567F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D53424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E23105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2368BF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1A4123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E5C9F0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24CB1F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354516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0ECF334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5946ED09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53AE1D42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33AEDC34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518C350E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3DAC922A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54C2F1CB" w14:textId="0ADC3A13" w:rsidR="001E4854" w:rsidRPr="00141E3F" w:rsidRDefault="001E4854" w:rsidP="001E4854">
      <w:pPr>
        <w:tabs>
          <w:tab w:val="left" w:pos="1050"/>
        </w:tabs>
        <w:rPr>
          <w:b/>
          <w:bCs/>
        </w:rPr>
      </w:pPr>
      <w:r w:rsidRPr="00141E3F">
        <w:rPr>
          <w:b/>
          <w:bCs/>
        </w:rPr>
        <w:lastRenderedPageBreak/>
        <w:t>Table 4: Parity distribution among study participants by preeclampsia status (n=224)</w:t>
      </w:r>
    </w:p>
    <w:p w14:paraId="55C2E6BE" w14:textId="77777777" w:rsidR="001E4854" w:rsidRPr="00141E3F" w:rsidRDefault="001E4854" w:rsidP="001E4854">
      <w:pPr>
        <w:tabs>
          <w:tab w:val="left" w:pos="1050"/>
        </w:tabs>
      </w:pPr>
    </w:p>
    <w:p w14:paraId="311AEA6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3BE1214A" wp14:editId="46C6EACD">
            <wp:extent cx="5759450" cy="1860550"/>
            <wp:effectExtent l="0" t="0" r="0" b="0"/>
            <wp:docPr id="70480740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9E5F8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6C3CB8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3A9A5F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E519EB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C42E17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CCF9BC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397A7B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C0AC8F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4CC744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295019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96AA9D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C02687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36F2C8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B0CC5FC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414273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BD417DC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4A3181BE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288BF68B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28CEE662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6DACA79E" w14:textId="77777777" w:rsidR="001E4854" w:rsidRDefault="001E4854" w:rsidP="001E4854">
      <w:pPr>
        <w:tabs>
          <w:tab w:val="left" w:pos="1050"/>
        </w:tabs>
        <w:rPr>
          <w:b/>
          <w:bCs/>
        </w:rPr>
      </w:pPr>
    </w:p>
    <w:p w14:paraId="44306A0D" w14:textId="2469108D" w:rsidR="001E4854" w:rsidRPr="006D690D" w:rsidRDefault="001E4854" w:rsidP="001E4854">
      <w:pPr>
        <w:tabs>
          <w:tab w:val="left" w:pos="1050"/>
        </w:tabs>
        <w:rPr>
          <w:b/>
          <w:bCs/>
          <w:highlight w:val="cyan"/>
        </w:rPr>
      </w:pPr>
      <w:r w:rsidRPr="006D690D">
        <w:rPr>
          <w:b/>
          <w:bCs/>
        </w:rPr>
        <w:lastRenderedPageBreak/>
        <w:t xml:space="preserve">Table 5: Comparison of biochemical and hormonal profiles between PE and non-PE groups </w:t>
      </w:r>
    </w:p>
    <w:p w14:paraId="10615A41" w14:textId="77777777" w:rsidR="001E4854" w:rsidRDefault="001E4854" w:rsidP="001E4854">
      <w:pPr>
        <w:tabs>
          <w:tab w:val="left" w:pos="1050"/>
        </w:tabs>
        <w:rPr>
          <w:highlight w:val="cyan"/>
        </w:rPr>
      </w:pPr>
    </w:p>
    <w:p w14:paraId="01D027D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582A88EC" wp14:editId="72D3A664">
            <wp:extent cx="5759450" cy="2292350"/>
            <wp:effectExtent l="0" t="0" r="0" b="0"/>
            <wp:docPr id="175227716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29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9412E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0A5240C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A64B6D4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4C6AE06" w14:textId="77777777" w:rsidR="001E4854" w:rsidRPr="00E764DE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33B9D7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114FBBA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D0A076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4CBE04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C67CB0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4E5819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541263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932031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34C8AF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658737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1A6793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4F1BE5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79F13D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D410EA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4DB1D3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3A99630" w14:textId="77777777" w:rsidR="001E4854" w:rsidRPr="006D690D" w:rsidRDefault="001E4854" w:rsidP="001E4854">
      <w:pPr>
        <w:tabs>
          <w:tab w:val="left" w:pos="1050"/>
        </w:tabs>
        <w:rPr>
          <w:rFonts w:ascii="Arial" w:hAnsi="Arial" w:cs="Arial"/>
          <w:b/>
          <w:bCs/>
          <w:sz w:val="22"/>
          <w:szCs w:val="22"/>
        </w:rPr>
      </w:pPr>
      <w:r w:rsidRPr="006D690D">
        <w:rPr>
          <w:rFonts w:ascii="Arial" w:hAnsi="Arial" w:cs="Arial"/>
          <w:b/>
          <w:bCs/>
          <w:sz w:val="22"/>
          <w:szCs w:val="22"/>
        </w:rPr>
        <w:lastRenderedPageBreak/>
        <w:t>Table 6: ROC analysis of the E2/T ratio as a predictive marker for pre-eclampsia(n=224)</w:t>
      </w:r>
    </w:p>
    <w:p w14:paraId="1BF36D7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4BBCA7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3CA3304E" wp14:editId="5B81026A">
            <wp:extent cx="5759450" cy="3232150"/>
            <wp:effectExtent l="0" t="0" r="0" b="0"/>
            <wp:docPr id="186253345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323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524B3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71B26C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FB13971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CF5A6E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70FBEEA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021BBAD4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CDB03BF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92BA115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9CFACB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435442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71E3C6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DA4DAD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E68DE0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278AD3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0EF0FE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F22060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74F208C" w14:textId="77777777" w:rsidR="001E4854" w:rsidRPr="006D690D" w:rsidRDefault="001E4854" w:rsidP="001E4854">
      <w:pPr>
        <w:tabs>
          <w:tab w:val="left" w:pos="1050"/>
        </w:tabs>
        <w:rPr>
          <w:rFonts w:ascii="Arial" w:hAnsi="Arial" w:cs="Arial"/>
          <w:b/>
          <w:bCs/>
          <w:sz w:val="22"/>
          <w:szCs w:val="22"/>
        </w:rPr>
      </w:pPr>
      <w:r w:rsidRPr="006D690D">
        <w:rPr>
          <w:rFonts w:ascii="Arial" w:hAnsi="Arial" w:cs="Arial"/>
          <w:b/>
          <w:bCs/>
          <w:sz w:val="22"/>
          <w:szCs w:val="22"/>
        </w:rPr>
        <w:lastRenderedPageBreak/>
        <w:t>Table 7: Association between E2/T ratio and preeclampsia risk (n=224)</w:t>
      </w:r>
    </w:p>
    <w:p w14:paraId="61A0966A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7F4693CA" wp14:editId="51A0B32E">
            <wp:extent cx="5759450" cy="1860550"/>
            <wp:effectExtent l="0" t="0" r="0" b="0"/>
            <wp:docPr id="169031422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6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B74E80" w14:textId="77777777" w:rsidR="001E4854" w:rsidRPr="00E764DE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929565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1E22DE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D070EB2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2CB831B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4715E6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C3E7239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2B0DD6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629C8E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C0DFB2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F68AC7C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DADD60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70F9BC1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5BA796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7E8C78C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24DB303D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2FA04B7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89981E6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F1C6F2A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45925FB3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6FE10A4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7B19280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24E11B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5D47C549" w14:textId="3C88F679" w:rsidR="001E4854" w:rsidRPr="006D690D" w:rsidRDefault="001E4854" w:rsidP="001E4854">
      <w:pPr>
        <w:tabs>
          <w:tab w:val="left" w:pos="1050"/>
        </w:tabs>
        <w:rPr>
          <w:rFonts w:ascii="Arial" w:hAnsi="Arial" w:cs="Arial"/>
          <w:b/>
          <w:bCs/>
          <w:sz w:val="22"/>
          <w:szCs w:val="22"/>
        </w:rPr>
      </w:pPr>
      <w:r w:rsidRPr="006D690D">
        <w:rPr>
          <w:rFonts w:ascii="Arial" w:hAnsi="Arial" w:cs="Arial"/>
          <w:b/>
          <w:bCs/>
          <w:sz w:val="22"/>
          <w:szCs w:val="22"/>
        </w:rPr>
        <w:lastRenderedPageBreak/>
        <w:t xml:space="preserve">Table 8: logistic regression analysis of factors associated with preeclampsia </w:t>
      </w:r>
    </w:p>
    <w:p w14:paraId="25687A88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3431744C" w14:textId="77777777" w:rsidR="001E4854" w:rsidRPr="00E764DE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  <w:r w:rsidRPr="00755C3B">
        <w:rPr>
          <w:noProof/>
          <w:highlight w:val="cyan"/>
        </w:rPr>
        <w:drawing>
          <wp:inline distT="0" distB="0" distL="0" distR="0" wp14:anchorId="116D38C0" wp14:editId="2626E250">
            <wp:extent cx="5759450" cy="1835150"/>
            <wp:effectExtent l="0" t="0" r="0" b="0"/>
            <wp:docPr id="107774843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183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60DF0E" w14:textId="77777777" w:rsidR="001E4854" w:rsidRDefault="001E4854" w:rsidP="001E4854">
      <w:pPr>
        <w:tabs>
          <w:tab w:val="left" w:pos="1050"/>
        </w:tabs>
        <w:rPr>
          <w:rFonts w:ascii="Arial" w:hAnsi="Arial" w:cs="Arial"/>
          <w:sz w:val="22"/>
          <w:szCs w:val="22"/>
        </w:rPr>
      </w:pPr>
    </w:p>
    <w:p w14:paraId="1050D9BC" w14:textId="77777777" w:rsidR="00C6465A" w:rsidRDefault="00C6465A"/>
    <w:sectPr w:rsidR="00C6465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854"/>
    <w:rsid w:val="000905F0"/>
    <w:rsid w:val="00112C91"/>
    <w:rsid w:val="001E4854"/>
    <w:rsid w:val="00242B4F"/>
    <w:rsid w:val="00302F9E"/>
    <w:rsid w:val="004E23CF"/>
    <w:rsid w:val="00692403"/>
    <w:rsid w:val="006D5216"/>
    <w:rsid w:val="00A80498"/>
    <w:rsid w:val="00C52040"/>
    <w:rsid w:val="00C62D14"/>
    <w:rsid w:val="00C6465A"/>
    <w:rsid w:val="00EA3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32C3F"/>
  <w15:chartTrackingRefBased/>
  <w15:docId w15:val="{C9CCD376-EE67-46A8-9A1D-5BADBFD9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854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48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48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48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48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I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48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I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48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I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48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I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48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I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48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48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48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48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48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48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48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48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48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48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48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/>
    </w:rPr>
  </w:style>
  <w:style w:type="character" w:customStyle="1" w:styleId="TitleChar">
    <w:name w:val="Title Char"/>
    <w:basedOn w:val="DefaultParagraphFont"/>
    <w:link w:val="Title"/>
    <w:uiPriority w:val="10"/>
    <w:rsid w:val="001E48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48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IN"/>
    </w:rPr>
  </w:style>
  <w:style w:type="character" w:customStyle="1" w:styleId="SubtitleChar">
    <w:name w:val="Subtitle Char"/>
    <w:basedOn w:val="DefaultParagraphFont"/>
    <w:link w:val="Subtitle"/>
    <w:uiPriority w:val="11"/>
    <w:rsid w:val="001E48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4854"/>
    <w:pPr>
      <w:spacing w:before="160"/>
      <w:jc w:val="center"/>
    </w:pPr>
    <w:rPr>
      <w:i/>
      <w:iCs/>
      <w:color w:val="404040" w:themeColor="text1" w:themeTint="BF"/>
      <w:lang w:val="en-IN"/>
    </w:rPr>
  </w:style>
  <w:style w:type="character" w:customStyle="1" w:styleId="QuoteChar">
    <w:name w:val="Quote Char"/>
    <w:basedOn w:val="DefaultParagraphFont"/>
    <w:link w:val="Quote"/>
    <w:uiPriority w:val="29"/>
    <w:rsid w:val="001E48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4854"/>
    <w:pPr>
      <w:ind w:left="720"/>
      <w:contextualSpacing/>
    </w:pPr>
    <w:rPr>
      <w:lang w:val="en-IN"/>
    </w:rPr>
  </w:style>
  <w:style w:type="character" w:styleId="IntenseEmphasis">
    <w:name w:val="Intense Emphasis"/>
    <w:basedOn w:val="DefaultParagraphFont"/>
    <w:uiPriority w:val="21"/>
    <w:qFormat/>
    <w:rsid w:val="001E48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48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IN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48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485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4" Type="http://schemas.openxmlformats.org/officeDocument/2006/relationships/image" Target="media/image1.emf"/><Relationship Id="rId9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103</Words>
  <Characters>695</Characters>
  <Application>Microsoft Office Word</Application>
  <DocSecurity>0</DocSecurity>
  <Lines>11</Lines>
  <Paragraphs>2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Poonam Mutha</dc:creator>
  <cp:keywords/>
  <dc:description/>
  <cp:lastModifiedBy>Poonam Mutha</cp:lastModifiedBy>
  <cp:revision>1</cp:revision>
  <dcterms:created xsi:type="dcterms:W3CDTF">2026-07-25T12:22:00Z</dcterms:created>
  <dcterms:modified xsi:type="dcterms:W3CDTF">2026-07-25T12:25:00Z</dcterms:modified>
</cp:coreProperties>
</file>