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A4AE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color w:val="auto"/>
          <w:sz w:val="28"/>
          <w:szCs w:val="28"/>
        </w:rPr>
      </w:pPr>
      <w:r>
        <w:rPr>
          <w:rFonts w:hint="default" w:ascii="Times New Roman" w:hAnsi="Times New Roman" w:eastAsia="微软雅黑" w:cs="Times New Roman"/>
          <w:b/>
          <w:color w:val="auto"/>
          <w:sz w:val="28"/>
          <w:szCs w:val="28"/>
        </w:rPr>
        <w:t>Additional file 1</w:t>
      </w:r>
    </w:p>
    <w:p w14:paraId="0409DD2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color w:val="auto"/>
          <w:sz w:val="28"/>
          <w:szCs w:val="28"/>
        </w:rPr>
      </w:pPr>
      <w:r>
        <w:rPr>
          <w:rFonts w:hint="default" w:ascii="Times New Roman" w:hAnsi="Times New Roman" w:eastAsia="微软雅黑" w:cs="Times New Roman"/>
          <w:b/>
          <w:color w:val="auto"/>
          <w:sz w:val="28"/>
          <w:szCs w:val="28"/>
        </w:rPr>
        <w:t>Behavioral Risk Questionnaire for Spinal Health Among Primary and Secondary School Students</w:t>
      </w:r>
    </w:p>
    <w:tbl>
      <w:tblPr>
        <w:tblStyle w:val="32"/>
        <w:tblW w:w="10656" w:type="dxa"/>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108" w:type="dxa"/>
          <w:bottom w:w="0" w:type="dxa"/>
          <w:right w:w="108" w:type="dxa"/>
        </w:tblCellMar>
      </w:tblPr>
      <w:tblGrid>
        <w:gridCol w:w="5184"/>
        <w:gridCol w:w="5472"/>
      </w:tblGrid>
      <w:tr w14:paraId="621BDB5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5184" w:type="dxa"/>
            <w:tcBorders>
              <w:top w:val="single" w:color="000000" w:sz="12" w:space="0"/>
              <w:left w:val="nil"/>
              <w:bottom w:val="single" w:color="000000" w:sz="4" w:space="0"/>
              <w:right w:val="nil"/>
              <w:tl2br w:val="nil"/>
            </w:tcBorders>
            <w:shd w:val="clear" w:color="auto" w:fill="FFFFFF"/>
            <w:vAlign w:val="center"/>
          </w:tcPr>
          <w:p w14:paraId="47C2B5FC">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Target population</w:t>
            </w:r>
          </w:p>
        </w:tc>
        <w:tc>
          <w:tcPr>
            <w:tcW w:w="5472" w:type="dxa"/>
            <w:tcBorders>
              <w:top w:val="single" w:color="000000" w:sz="12" w:space="0"/>
              <w:left w:val="nil"/>
              <w:bottom w:val="single" w:color="000000" w:sz="4" w:space="0"/>
              <w:right w:val="nil"/>
            </w:tcBorders>
            <w:shd w:val="clear" w:color="auto" w:fill="FFFFFF"/>
            <w:vAlign w:val="center"/>
          </w:tcPr>
          <w:p w14:paraId="108CD175">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Primary and secondary school students and adolescents</w:t>
            </w:r>
          </w:p>
        </w:tc>
      </w:tr>
      <w:tr w14:paraId="459E377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5184" w:type="dxa"/>
            <w:tcBorders>
              <w:top w:val="single" w:color="000000" w:sz="4" w:space="0"/>
              <w:left w:val="nil"/>
              <w:bottom w:val="nil"/>
              <w:right w:val="nil"/>
            </w:tcBorders>
            <w:shd w:val="clear" w:color="auto" w:fill="FFFFFF"/>
            <w:vAlign w:val="center"/>
          </w:tcPr>
          <w:p w14:paraId="6B24B5A1">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Assessment purpose</w:t>
            </w:r>
          </w:p>
        </w:tc>
        <w:tc>
          <w:tcPr>
            <w:tcW w:w="5472" w:type="dxa"/>
            <w:tcBorders>
              <w:top w:val="single" w:color="000000" w:sz="4" w:space="0"/>
              <w:left w:val="nil"/>
              <w:bottom w:val="nil"/>
              <w:right w:val="nil"/>
            </w:tcBorders>
            <w:shd w:val="clear" w:color="auto" w:fill="FFFFFF"/>
            <w:vAlign w:val="center"/>
          </w:tcPr>
          <w:p w14:paraId="2B4ABEAF">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To investigate lifestyle-related behavioral exposure factors potentially associated with spinal health among adolescents</w:t>
            </w:r>
          </w:p>
        </w:tc>
      </w:tr>
      <w:tr w14:paraId="0F3E9D5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5184" w:type="dxa"/>
            <w:tcBorders>
              <w:top w:val="nil"/>
              <w:left w:val="nil"/>
              <w:bottom w:val="nil"/>
              <w:right w:val="nil"/>
            </w:tcBorders>
            <w:shd w:val="clear" w:color="auto" w:fill="FFFFFF"/>
            <w:vAlign w:val="center"/>
          </w:tcPr>
          <w:p w14:paraId="69CA8987">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Questionnaire type</w:t>
            </w:r>
          </w:p>
        </w:tc>
        <w:tc>
          <w:tcPr>
            <w:tcW w:w="5472" w:type="dxa"/>
            <w:tcBorders>
              <w:top w:val="nil"/>
              <w:left w:val="nil"/>
              <w:bottom w:val="nil"/>
              <w:right w:val="nil"/>
            </w:tcBorders>
            <w:shd w:val="clear" w:color="auto" w:fill="FFFFFF"/>
            <w:vAlign w:val="center"/>
          </w:tcPr>
          <w:p w14:paraId="64763A82">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A self-developed lifestyle exposure questionnaire designed by the research team for epidemiological research; not a clinical diagnostic tool</w:t>
            </w:r>
          </w:p>
        </w:tc>
      </w:tr>
      <w:tr w14:paraId="0FBD385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5184" w:type="dxa"/>
            <w:tcBorders>
              <w:top w:val="nil"/>
              <w:left w:val="nil"/>
              <w:bottom w:val="nil"/>
              <w:right w:val="nil"/>
            </w:tcBorders>
            <w:shd w:val="clear" w:color="auto" w:fill="FFFFFF"/>
            <w:vAlign w:val="center"/>
          </w:tcPr>
          <w:p w14:paraId="5CF2F5C5">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Estimated completion time</w:t>
            </w:r>
          </w:p>
        </w:tc>
        <w:tc>
          <w:tcPr>
            <w:tcW w:w="5472" w:type="dxa"/>
            <w:tcBorders>
              <w:top w:val="nil"/>
              <w:left w:val="nil"/>
              <w:bottom w:val="nil"/>
              <w:right w:val="nil"/>
            </w:tcBorders>
            <w:shd w:val="clear" w:color="auto" w:fill="FFFFFF"/>
            <w:vAlign w:val="center"/>
          </w:tcPr>
          <w:p w14:paraId="7F28B8A7">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Approximately 5–8 minutes</w:t>
            </w:r>
          </w:p>
        </w:tc>
      </w:tr>
      <w:tr w14:paraId="7FCEB37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5184" w:type="dxa"/>
            <w:tcBorders>
              <w:top w:val="nil"/>
              <w:left w:val="nil"/>
              <w:bottom w:val="single" w:color="000000" w:sz="12" w:space="0"/>
              <w:right w:val="nil"/>
            </w:tcBorders>
            <w:shd w:val="clear" w:color="auto" w:fill="FFFFFF"/>
            <w:vAlign w:val="center"/>
          </w:tcPr>
          <w:p w14:paraId="5300A55B">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Scoring direction</w:t>
            </w:r>
          </w:p>
        </w:tc>
        <w:tc>
          <w:tcPr>
            <w:tcW w:w="5472" w:type="dxa"/>
            <w:tcBorders>
              <w:top w:val="nil"/>
              <w:left w:val="nil"/>
              <w:bottom w:val="single" w:color="000000" w:sz="12" w:space="0"/>
              <w:right w:val="nil"/>
            </w:tcBorders>
            <w:shd w:val="clear" w:color="auto" w:fill="FFFFFF"/>
            <w:vAlign w:val="center"/>
          </w:tcPr>
          <w:p w14:paraId="2047CA7D">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Higher scores indicate greater exposure to lifestyle-related behavioral risk factors</w:t>
            </w:r>
          </w:p>
        </w:tc>
      </w:tr>
    </w:tbl>
    <w:p w14:paraId="393A4920">
      <w:pPr>
        <w:pStyle w:val="3"/>
        <w:pageBreakBefore w:val="0"/>
        <w:widowControl/>
        <w:kinsoku/>
        <w:wordWrap/>
        <w:overflowPunct/>
        <w:topLinePunct w:val="0"/>
        <w:autoSpaceDE/>
        <w:autoSpaceDN/>
        <w:bidi w:val="0"/>
        <w:adjustRightInd/>
        <w:snapToGrid/>
        <w:spacing w:before="0" w:after="0" w:line="480" w:lineRule="auto"/>
        <w:textAlignment w:val="auto"/>
        <w:rPr>
          <w:rFonts w:hint="default" w:ascii="Times New Roman" w:hAnsi="Times New Roman" w:eastAsia="微软雅黑" w:cs="Times New Roman"/>
          <w:color w:val="auto"/>
          <w:sz w:val="24"/>
          <w:szCs w:val="24"/>
        </w:rPr>
      </w:pPr>
      <w:r>
        <w:rPr>
          <w:rFonts w:hint="eastAsia" w:ascii="Times New Roman" w:hAnsi="Times New Roman" w:eastAsia="微软雅黑" w:cs="Times New Roman"/>
          <w:color w:val="auto"/>
          <w:sz w:val="24"/>
          <w:szCs w:val="24"/>
          <w:lang w:val="en-US" w:eastAsia="zh-CN"/>
        </w:rPr>
        <w:t>1.</w:t>
      </w:r>
      <w:r>
        <w:rPr>
          <w:rFonts w:hint="default" w:ascii="Times New Roman" w:hAnsi="Times New Roman" w:eastAsia="微软雅黑" w:cs="Times New Roman"/>
          <w:color w:val="auto"/>
          <w:sz w:val="24"/>
          <w:szCs w:val="24"/>
        </w:rPr>
        <w:t xml:space="preserve"> Questionnaire Source and Intended Use</w:t>
      </w:r>
    </w:p>
    <w:p w14:paraId="37B85BE3">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This questionnaire was developed by the research team for the purpose of the present study. Its formal title is the Behavioral Risk Questionnaire for Spinal Health Among Primary and Secondary School Students. It was used to collect information on behavioral exposure factors in daily life that may be related to spinal health among adolescents. The questionnaire covers 10 dimensions: sedentary behavior, unilateral force-dominant exercise, schoolbag burden, insufficient physical activity, insufficient outdoor activity, insufficient dairy product intake, screen use, inadequate sleep, poor reading and writing posture, and poor desk-chair matching.</w:t>
      </w:r>
    </w:p>
    <w:p w14:paraId="32772E77">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Development basis: The questionnaire was designed with reference to relevant domestic and international literature, school spinal health screening standards, and previous studies on adolescent behavioral and lifestyle factors. Item development also incorporated practical experience from school health screening.</w:t>
      </w:r>
    </w:p>
    <w:p w14:paraId="628377D9">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Expert consultation: The draft questionnaire was revised and improved through two rounds of Delphi expert consultation. Fifteen experts evaluated the dimensional structure, item importance, wording clarity, and cut-off values for risk classification. The questionnaire items and classification criteria were optimized accordingly.</w:t>
      </w:r>
    </w:p>
    <w:p w14:paraId="6789D874">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Quality evaluation: In the present study sample, the overall Cronbach’s alpha coefficient of the questionnaire was 0.823, indicating good internal consistency. This indicator reflects consistency among the questionnaire items but does not imply that the questionnaire can replace clinical screening or diagnosis.</w:t>
      </w:r>
    </w:p>
    <w:p w14:paraId="222EEDE8">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Scope of use: This questionnaire is intended for epidemiological surveys, description of behavioral factors, and stratification of lifestyle-related exposure levels. It is not intended as a clinical diagnostic tool or an independent predictive tool for scoliosis. Screening or diagnosis of scoliosis should be based on professional physical examination, school screening procedures, and, when necessary, imaging assessment.</w:t>
      </w:r>
    </w:p>
    <w:p w14:paraId="525F4185">
      <w:pPr>
        <w:pStyle w:val="3"/>
        <w:pageBreakBefore w:val="0"/>
        <w:widowControl/>
        <w:numPr>
          <w:ilvl w:val="0"/>
          <w:numId w:val="7"/>
        </w:numPr>
        <w:kinsoku/>
        <w:wordWrap/>
        <w:overflowPunct/>
        <w:topLinePunct w:val="0"/>
        <w:autoSpaceDE/>
        <w:autoSpaceDN/>
        <w:bidi w:val="0"/>
        <w:adjustRightInd/>
        <w:snapToGrid/>
        <w:spacing w:before="0" w:after="0" w:line="480" w:lineRule="auto"/>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Instructions for Respondents</w:t>
      </w:r>
    </w:p>
    <w:p w14:paraId="251F3B50">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Please answer each item according to your actual situation during the past month. Select only one option for each question. There are no “right” or “wrong” answers. Please answer truthfully. For younger students, trained investigators may explain the meaning of the questions, but they should not guide or influence the responses.</w:t>
      </w:r>
    </w:p>
    <w:p w14:paraId="0A37D390">
      <w:pPr>
        <w:pStyle w:val="3"/>
        <w:pageBreakBefore w:val="0"/>
        <w:widowControl/>
        <w:numPr>
          <w:ilvl w:val="0"/>
          <w:numId w:val="8"/>
        </w:numPr>
        <w:kinsoku/>
        <w:wordWrap/>
        <w:overflowPunct/>
        <w:topLinePunct w:val="0"/>
        <w:autoSpaceDE/>
        <w:autoSpaceDN/>
        <w:bidi w:val="0"/>
        <w:adjustRightInd/>
        <w:snapToGrid/>
        <w:spacing w:before="0" w:after="0" w:line="480" w:lineRule="auto"/>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Response Options and Scoring</w:t>
      </w:r>
    </w:p>
    <w:p w14:paraId="6B01AEBE">
      <w:pPr>
        <w:keepNext w:val="0"/>
        <w:keepLines w:val="0"/>
        <w:pageBreakBefore w:val="0"/>
        <w:widowControl/>
        <w:kinsoku/>
        <w:wordWrap/>
        <w:overflowPunct/>
        <w:topLinePunct w:val="0"/>
        <w:autoSpaceDE/>
        <w:autoSpaceDN/>
        <w:bidi w:val="0"/>
        <w:adjustRightInd/>
        <w:snapToGrid/>
        <w:spacing w:after="0" w:line="480" w:lineRule="auto"/>
        <w:ind w:firstLine="480" w:firstLineChars="200"/>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Each item is rated on a 5-point scale. The scoring criteria are shown below.</w:t>
      </w:r>
    </w:p>
    <w:tbl>
      <w:tblPr>
        <w:tblStyle w:val="32"/>
        <w:tblW w:w="10656" w:type="dxa"/>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108" w:type="dxa"/>
          <w:bottom w:w="0" w:type="dxa"/>
          <w:right w:w="108" w:type="dxa"/>
        </w:tblCellMar>
      </w:tblPr>
      <w:tblGrid>
        <w:gridCol w:w="2718"/>
        <w:gridCol w:w="6498"/>
        <w:gridCol w:w="1440"/>
      </w:tblGrid>
      <w:tr w14:paraId="51BB1E6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2718" w:type="dxa"/>
            <w:tcBorders>
              <w:top w:val="single" w:color="000000" w:sz="12" w:space="0"/>
              <w:left w:val="nil"/>
              <w:bottom w:val="single" w:color="000000" w:sz="4" w:space="0"/>
              <w:right w:val="nil"/>
              <w:tl2br w:val="nil"/>
            </w:tcBorders>
            <w:shd w:val="clear" w:color="auto" w:fill="FFFFFF"/>
            <w:vAlign w:val="center"/>
          </w:tcPr>
          <w:p w14:paraId="6065543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Response option</w:t>
            </w:r>
          </w:p>
        </w:tc>
        <w:tc>
          <w:tcPr>
            <w:tcW w:w="6498" w:type="dxa"/>
            <w:tcBorders>
              <w:top w:val="single" w:color="000000" w:sz="12" w:space="0"/>
              <w:left w:val="nil"/>
              <w:bottom w:val="single" w:color="000000" w:sz="4" w:space="0"/>
              <w:right w:val="nil"/>
            </w:tcBorders>
            <w:shd w:val="clear" w:color="auto" w:fill="FFFFFF"/>
            <w:vAlign w:val="center"/>
          </w:tcPr>
          <w:p w14:paraId="0EA22A0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Meaning</w:t>
            </w:r>
          </w:p>
        </w:tc>
        <w:tc>
          <w:tcPr>
            <w:tcW w:w="1440" w:type="dxa"/>
            <w:tcBorders>
              <w:top w:val="single" w:color="000000" w:sz="12" w:space="0"/>
              <w:left w:val="nil"/>
              <w:bottom w:val="single" w:color="000000" w:sz="4" w:space="0"/>
              <w:right w:val="nil"/>
            </w:tcBorders>
            <w:shd w:val="clear" w:color="auto" w:fill="FFFFFF"/>
            <w:vAlign w:val="center"/>
          </w:tcPr>
          <w:p w14:paraId="4DF9678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Score</w:t>
            </w:r>
          </w:p>
        </w:tc>
      </w:tr>
      <w:tr w14:paraId="4484215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2718" w:type="dxa"/>
            <w:tcBorders>
              <w:top w:val="single" w:color="000000" w:sz="4" w:space="0"/>
              <w:left w:val="nil"/>
              <w:bottom w:val="nil"/>
              <w:right w:val="nil"/>
            </w:tcBorders>
            <w:shd w:val="clear" w:color="auto" w:fill="FFFFFF"/>
            <w:vAlign w:val="center"/>
          </w:tcPr>
          <w:p w14:paraId="6CCD1ABD">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Never</w:t>
            </w:r>
          </w:p>
        </w:tc>
        <w:tc>
          <w:tcPr>
            <w:tcW w:w="6498" w:type="dxa"/>
            <w:tcBorders>
              <w:top w:val="single" w:color="000000" w:sz="4" w:space="0"/>
              <w:left w:val="nil"/>
              <w:bottom w:val="nil"/>
              <w:right w:val="nil"/>
            </w:tcBorders>
            <w:shd w:val="clear" w:color="auto" w:fill="FFFFFF"/>
            <w:vAlign w:val="center"/>
          </w:tcPr>
          <w:p w14:paraId="3FCBF253">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The situation basically did not occur during the past month</w:t>
            </w:r>
          </w:p>
        </w:tc>
        <w:tc>
          <w:tcPr>
            <w:tcW w:w="1440" w:type="dxa"/>
            <w:tcBorders>
              <w:top w:val="single" w:color="000000" w:sz="4" w:space="0"/>
              <w:left w:val="nil"/>
              <w:bottom w:val="nil"/>
              <w:right w:val="nil"/>
            </w:tcBorders>
            <w:shd w:val="clear" w:color="auto" w:fill="FFFFFF"/>
            <w:vAlign w:val="center"/>
          </w:tcPr>
          <w:p w14:paraId="2FE5A97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1</w:t>
            </w:r>
          </w:p>
        </w:tc>
      </w:tr>
      <w:tr w14:paraId="18C29E5E">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2718" w:type="dxa"/>
            <w:tcBorders>
              <w:top w:val="nil"/>
              <w:left w:val="nil"/>
              <w:bottom w:val="nil"/>
              <w:right w:val="nil"/>
            </w:tcBorders>
            <w:shd w:val="clear" w:color="auto" w:fill="FFFFFF"/>
            <w:vAlign w:val="center"/>
          </w:tcPr>
          <w:p w14:paraId="29C8AE91">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Occasionally</w:t>
            </w:r>
          </w:p>
        </w:tc>
        <w:tc>
          <w:tcPr>
            <w:tcW w:w="6498" w:type="dxa"/>
            <w:tcBorders>
              <w:top w:val="nil"/>
              <w:left w:val="nil"/>
              <w:bottom w:val="nil"/>
              <w:right w:val="nil"/>
            </w:tcBorders>
            <w:shd w:val="clear" w:color="auto" w:fill="FFFFFF"/>
            <w:vAlign w:val="center"/>
          </w:tcPr>
          <w:p w14:paraId="709D0E8E">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The situation occurred infrequently</w:t>
            </w:r>
          </w:p>
        </w:tc>
        <w:tc>
          <w:tcPr>
            <w:tcW w:w="1440" w:type="dxa"/>
            <w:tcBorders>
              <w:top w:val="nil"/>
              <w:left w:val="nil"/>
              <w:bottom w:val="nil"/>
              <w:right w:val="nil"/>
            </w:tcBorders>
            <w:shd w:val="clear" w:color="auto" w:fill="FFFFFF"/>
            <w:vAlign w:val="center"/>
          </w:tcPr>
          <w:p w14:paraId="27466C0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2</w:t>
            </w:r>
          </w:p>
        </w:tc>
      </w:tr>
      <w:tr w14:paraId="29F8E67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2718" w:type="dxa"/>
            <w:tcBorders>
              <w:top w:val="nil"/>
              <w:left w:val="nil"/>
              <w:bottom w:val="nil"/>
              <w:right w:val="nil"/>
            </w:tcBorders>
            <w:shd w:val="clear" w:color="auto" w:fill="FFFFFF"/>
            <w:vAlign w:val="center"/>
          </w:tcPr>
          <w:p w14:paraId="2665C87D">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Sometimes</w:t>
            </w:r>
          </w:p>
        </w:tc>
        <w:tc>
          <w:tcPr>
            <w:tcW w:w="6498" w:type="dxa"/>
            <w:tcBorders>
              <w:top w:val="nil"/>
              <w:left w:val="nil"/>
              <w:bottom w:val="nil"/>
              <w:right w:val="nil"/>
            </w:tcBorders>
            <w:shd w:val="clear" w:color="auto" w:fill="FFFFFF"/>
            <w:vAlign w:val="center"/>
          </w:tcPr>
          <w:p w14:paraId="255F4EBB">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The situation occurred with some frequency</w:t>
            </w:r>
          </w:p>
        </w:tc>
        <w:tc>
          <w:tcPr>
            <w:tcW w:w="1440" w:type="dxa"/>
            <w:tcBorders>
              <w:top w:val="nil"/>
              <w:left w:val="nil"/>
              <w:bottom w:val="nil"/>
              <w:right w:val="nil"/>
            </w:tcBorders>
            <w:shd w:val="clear" w:color="auto" w:fill="FFFFFF"/>
            <w:vAlign w:val="center"/>
          </w:tcPr>
          <w:p w14:paraId="51CA709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w:t>
            </w:r>
          </w:p>
        </w:tc>
      </w:tr>
      <w:tr w14:paraId="2E4DD61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2718" w:type="dxa"/>
            <w:tcBorders>
              <w:top w:val="nil"/>
              <w:left w:val="nil"/>
              <w:bottom w:val="nil"/>
              <w:right w:val="nil"/>
            </w:tcBorders>
            <w:shd w:val="clear" w:color="auto" w:fill="FFFFFF"/>
            <w:vAlign w:val="center"/>
          </w:tcPr>
          <w:p w14:paraId="1459BF41">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Often</w:t>
            </w:r>
          </w:p>
        </w:tc>
        <w:tc>
          <w:tcPr>
            <w:tcW w:w="6498" w:type="dxa"/>
            <w:tcBorders>
              <w:top w:val="nil"/>
              <w:left w:val="nil"/>
              <w:bottom w:val="nil"/>
              <w:right w:val="nil"/>
            </w:tcBorders>
            <w:shd w:val="clear" w:color="auto" w:fill="FFFFFF"/>
            <w:vAlign w:val="center"/>
          </w:tcPr>
          <w:p w14:paraId="7B943852">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The situation occurred relatively frequently</w:t>
            </w:r>
          </w:p>
        </w:tc>
        <w:tc>
          <w:tcPr>
            <w:tcW w:w="1440" w:type="dxa"/>
            <w:tcBorders>
              <w:top w:val="nil"/>
              <w:left w:val="nil"/>
              <w:bottom w:val="nil"/>
              <w:right w:val="nil"/>
            </w:tcBorders>
            <w:shd w:val="clear" w:color="auto" w:fill="FFFFFF"/>
            <w:vAlign w:val="center"/>
          </w:tcPr>
          <w:p w14:paraId="3DC4B5E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4</w:t>
            </w:r>
          </w:p>
        </w:tc>
      </w:tr>
      <w:tr w14:paraId="6F088A9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2718" w:type="dxa"/>
            <w:tcBorders>
              <w:top w:val="nil"/>
              <w:left w:val="nil"/>
              <w:bottom w:val="single" w:color="000000" w:sz="12" w:space="0"/>
              <w:right w:val="nil"/>
            </w:tcBorders>
            <w:shd w:val="clear" w:color="auto" w:fill="FFFFFF"/>
            <w:vAlign w:val="center"/>
          </w:tcPr>
          <w:p w14:paraId="6C7CEA77">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Always</w:t>
            </w:r>
          </w:p>
        </w:tc>
        <w:tc>
          <w:tcPr>
            <w:tcW w:w="6498" w:type="dxa"/>
            <w:tcBorders>
              <w:top w:val="nil"/>
              <w:left w:val="nil"/>
              <w:bottom w:val="single" w:color="000000" w:sz="12" w:space="0"/>
              <w:right w:val="nil"/>
            </w:tcBorders>
            <w:shd w:val="clear" w:color="auto" w:fill="FFFFFF"/>
            <w:vAlign w:val="center"/>
          </w:tcPr>
          <w:p w14:paraId="437EA7FF">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The situation occurred very frequently or almost every day</w:t>
            </w:r>
          </w:p>
        </w:tc>
        <w:tc>
          <w:tcPr>
            <w:tcW w:w="1440" w:type="dxa"/>
            <w:tcBorders>
              <w:top w:val="nil"/>
              <w:left w:val="nil"/>
              <w:bottom w:val="single" w:color="000000" w:sz="12" w:space="0"/>
              <w:right w:val="nil"/>
            </w:tcBorders>
            <w:shd w:val="clear" w:color="auto" w:fill="FFFFFF"/>
            <w:vAlign w:val="center"/>
          </w:tcPr>
          <w:p w14:paraId="1F575C6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5</w:t>
            </w:r>
          </w:p>
        </w:tc>
      </w:tr>
    </w:tbl>
    <w:p w14:paraId="0DD7E949">
      <w:pPr>
        <w:pStyle w:val="3"/>
        <w:pageBreakBefore w:val="0"/>
        <w:widowControl/>
        <w:numPr>
          <w:ilvl w:val="0"/>
          <w:numId w:val="8"/>
        </w:numPr>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 xml:space="preserve"> Formal Questionnaire Items</w:t>
      </w:r>
    </w:p>
    <w:p w14:paraId="76177BE9">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Please mark “√” under the option that best describes your situation.</w:t>
      </w:r>
    </w:p>
    <w:tbl>
      <w:tblPr>
        <w:tblStyle w:val="33"/>
        <w:tblW w:w="53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200"/>
        <w:gridCol w:w="946"/>
        <w:gridCol w:w="3591"/>
        <w:gridCol w:w="843"/>
        <w:gridCol w:w="1362"/>
        <w:gridCol w:w="1152"/>
        <w:gridCol w:w="936"/>
        <w:gridCol w:w="1010"/>
      </w:tblGrid>
      <w:tr w14:paraId="062D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atLeast"/>
          <w:tblHeader/>
          <w:jc w:val="center"/>
        </w:trPr>
        <w:tc>
          <w:tcPr>
            <w:tcW w:w="235" w:type="pct"/>
            <w:tcBorders>
              <w:top w:val="single" w:color="000000" w:sz="12" w:space="0"/>
              <w:left w:val="nil"/>
              <w:bottom w:val="single" w:color="000000" w:sz="4" w:space="0"/>
              <w:right w:val="nil"/>
              <w:tl2br w:val="nil"/>
            </w:tcBorders>
            <w:shd w:val="clear" w:color="auto" w:fill="FFFFFF"/>
            <w:vAlign w:val="center"/>
          </w:tcPr>
          <w:p w14:paraId="3FB5003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No.</w:t>
            </w:r>
          </w:p>
        </w:tc>
        <w:tc>
          <w:tcPr>
            <w:tcW w:w="517" w:type="pct"/>
            <w:tcBorders>
              <w:top w:val="single" w:color="000000" w:sz="12" w:space="0"/>
              <w:left w:val="nil"/>
              <w:bottom w:val="single" w:color="000000" w:sz="4" w:space="0"/>
              <w:right w:val="nil"/>
            </w:tcBorders>
            <w:shd w:val="clear" w:color="auto" w:fill="FFFFFF"/>
            <w:vAlign w:val="center"/>
          </w:tcPr>
          <w:p w14:paraId="509149F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Dimension</w:t>
            </w:r>
          </w:p>
        </w:tc>
        <w:tc>
          <w:tcPr>
            <w:tcW w:w="408" w:type="pct"/>
            <w:tcBorders>
              <w:top w:val="single" w:color="000000" w:sz="12" w:space="0"/>
              <w:left w:val="nil"/>
              <w:bottom w:val="single" w:color="000000" w:sz="4" w:space="0"/>
              <w:right w:val="nil"/>
            </w:tcBorders>
            <w:shd w:val="clear" w:color="auto" w:fill="FFFFFF"/>
            <w:vAlign w:val="center"/>
          </w:tcPr>
          <w:p w14:paraId="3D482ED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Variable</w:t>
            </w:r>
          </w:p>
        </w:tc>
        <w:tc>
          <w:tcPr>
            <w:tcW w:w="1549" w:type="pct"/>
            <w:tcBorders>
              <w:top w:val="single" w:color="000000" w:sz="12" w:space="0"/>
              <w:left w:val="nil"/>
              <w:bottom w:val="single" w:color="000000" w:sz="4" w:space="0"/>
              <w:right w:val="nil"/>
            </w:tcBorders>
            <w:shd w:val="clear" w:color="auto" w:fill="FFFFFF"/>
            <w:vAlign w:val="center"/>
          </w:tcPr>
          <w:p w14:paraId="4CF8D7B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Item</w:t>
            </w:r>
          </w:p>
        </w:tc>
        <w:tc>
          <w:tcPr>
            <w:tcW w:w="363" w:type="pct"/>
            <w:tcBorders>
              <w:top w:val="single" w:color="000000" w:sz="12" w:space="0"/>
              <w:left w:val="nil"/>
              <w:bottom w:val="single" w:color="000000" w:sz="4" w:space="0"/>
              <w:right w:val="nil"/>
            </w:tcBorders>
            <w:shd w:val="clear" w:color="auto" w:fill="FFFFFF"/>
            <w:vAlign w:val="center"/>
          </w:tcPr>
          <w:p w14:paraId="1DEBBC2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Never</w:t>
            </w:r>
            <w:r>
              <w:rPr>
                <w:rFonts w:hint="default" w:ascii="Times New Roman" w:hAnsi="Times New Roman" w:eastAsia="微软雅黑" w:cs="Times New Roman"/>
                <w:b w:val="0"/>
                <w:color w:val="000000"/>
                <w:sz w:val="21"/>
                <w:szCs w:val="21"/>
              </w:rPr>
              <w:br w:type="textWrapping"/>
            </w:r>
            <w:r>
              <w:rPr>
                <w:rFonts w:hint="default" w:ascii="Times New Roman" w:hAnsi="Times New Roman" w:eastAsia="微软雅黑" w:cs="Times New Roman"/>
                <w:b w:val="0"/>
                <w:color w:val="000000"/>
                <w:sz w:val="21"/>
                <w:szCs w:val="21"/>
              </w:rPr>
              <w:t>1 point</w:t>
            </w:r>
          </w:p>
        </w:tc>
        <w:tc>
          <w:tcPr>
            <w:tcW w:w="587" w:type="pct"/>
            <w:tcBorders>
              <w:top w:val="single" w:color="000000" w:sz="12" w:space="0"/>
              <w:left w:val="nil"/>
              <w:bottom w:val="single" w:color="000000" w:sz="4" w:space="0"/>
              <w:right w:val="nil"/>
            </w:tcBorders>
            <w:shd w:val="clear" w:color="auto" w:fill="FFFFFF"/>
            <w:vAlign w:val="center"/>
          </w:tcPr>
          <w:p w14:paraId="6C92198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Occasionally</w:t>
            </w:r>
            <w:r>
              <w:rPr>
                <w:rFonts w:hint="default" w:ascii="Times New Roman" w:hAnsi="Times New Roman" w:eastAsia="微软雅黑" w:cs="Times New Roman"/>
                <w:b w:val="0"/>
                <w:color w:val="000000"/>
                <w:sz w:val="21"/>
                <w:szCs w:val="21"/>
              </w:rPr>
              <w:br w:type="textWrapping"/>
            </w:r>
            <w:r>
              <w:rPr>
                <w:rFonts w:hint="default" w:ascii="Times New Roman" w:hAnsi="Times New Roman" w:eastAsia="微软雅黑" w:cs="Times New Roman"/>
                <w:b w:val="0"/>
                <w:color w:val="000000"/>
                <w:sz w:val="21"/>
                <w:szCs w:val="21"/>
              </w:rPr>
              <w:t>2 points</w:t>
            </w:r>
          </w:p>
        </w:tc>
        <w:tc>
          <w:tcPr>
            <w:tcW w:w="497" w:type="pct"/>
            <w:tcBorders>
              <w:top w:val="single" w:color="000000" w:sz="12" w:space="0"/>
              <w:left w:val="nil"/>
              <w:bottom w:val="single" w:color="000000" w:sz="4" w:space="0"/>
              <w:right w:val="nil"/>
            </w:tcBorders>
            <w:shd w:val="clear" w:color="auto" w:fill="FFFFFF"/>
            <w:vAlign w:val="center"/>
          </w:tcPr>
          <w:p w14:paraId="7946622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Sometimes</w:t>
            </w:r>
            <w:r>
              <w:rPr>
                <w:rFonts w:hint="default" w:ascii="Times New Roman" w:hAnsi="Times New Roman" w:eastAsia="微软雅黑" w:cs="Times New Roman"/>
                <w:b w:val="0"/>
                <w:color w:val="000000"/>
                <w:sz w:val="21"/>
                <w:szCs w:val="21"/>
              </w:rPr>
              <w:br w:type="textWrapping"/>
            </w:r>
            <w:r>
              <w:rPr>
                <w:rFonts w:hint="default" w:ascii="Times New Roman" w:hAnsi="Times New Roman" w:eastAsia="微软雅黑" w:cs="Times New Roman"/>
                <w:b w:val="0"/>
                <w:color w:val="000000"/>
                <w:sz w:val="21"/>
                <w:szCs w:val="21"/>
              </w:rPr>
              <w:t>3 points</w:t>
            </w:r>
          </w:p>
        </w:tc>
        <w:tc>
          <w:tcPr>
            <w:tcW w:w="403" w:type="pct"/>
            <w:tcBorders>
              <w:top w:val="single" w:color="000000" w:sz="12" w:space="0"/>
              <w:left w:val="nil"/>
              <w:bottom w:val="single" w:color="000000" w:sz="4" w:space="0"/>
              <w:right w:val="nil"/>
            </w:tcBorders>
            <w:shd w:val="clear" w:color="auto" w:fill="FFFFFF"/>
            <w:vAlign w:val="center"/>
          </w:tcPr>
          <w:p w14:paraId="17B1AA5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Often</w:t>
            </w:r>
            <w:r>
              <w:rPr>
                <w:rFonts w:hint="default" w:ascii="Times New Roman" w:hAnsi="Times New Roman" w:eastAsia="微软雅黑" w:cs="Times New Roman"/>
                <w:b w:val="0"/>
                <w:color w:val="000000"/>
                <w:sz w:val="21"/>
                <w:szCs w:val="21"/>
              </w:rPr>
              <w:br w:type="textWrapping"/>
            </w:r>
            <w:r>
              <w:rPr>
                <w:rFonts w:hint="default" w:ascii="Times New Roman" w:hAnsi="Times New Roman" w:eastAsia="微软雅黑" w:cs="Times New Roman"/>
                <w:b w:val="0"/>
                <w:color w:val="000000"/>
                <w:sz w:val="21"/>
                <w:szCs w:val="21"/>
              </w:rPr>
              <w:t>4 points</w:t>
            </w:r>
          </w:p>
        </w:tc>
        <w:tc>
          <w:tcPr>
            <w:tcW w:w="435" w:type="pct"/>
            <w:tcBorders>
              <w:top w:val="single" w:color="000000" w:sz="12" w:space="0"/>
              <w:left w:val="nil"/>
              <w:bottom w:val="single" w:color="000000" w:sz="4" w:space="0"/>
              <w:right w:val="nil"/>
            </w:tcBorders>
            <w:shd w:val="clear" w:color="auto" w:fill="FFFFFF"/>
            <w:vAlign w:val="center"/>
          </w:tcPr>
          <w:p w14:paraId="2F07EF8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Always 5 points</w:t>
            </w:r>
          </w:p>
        </w:tc>
      </w:tr>
      <w:tr w14:paraId="2032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single" w:color="000000" w:sz="4" w:space="0"/>
              <w:left w:val="nil"/>
              <w:bottom w:val="nil"/>
              <w:right w:val="nil"/>
            </w:tcBorders>
            <w:shd w:val="clear" w:color="auto" w:fill="FFFFFF"/>
            <w:vAlign w:val="center"/>
          </w:tcPr>
          <w:p w14:paraId="3CCCBD7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w:t>
            </w:r>
          </w:p>
        </w:tc>
        <w:tc>
          <w:tcPr>
            <w:tcW w:w="517" w:type="pct"/>
            <w:tcBorders>
              <w:top w:val="single" w:color="000000" w:sz="4" w:space="0"/>
              <w:left w:val="nil"/>
              <w:bottom w:val="nil"/>
              <w:right w:val="nil"/>
            </w:tcBorders>
            <w:shd w:val="clear" w:color="auto" w:fill="FFFFFF"/>
            <w:vAlign w:val="center"/>
          </w:tcPr>
          <w:p w14:paraId="5DCE3A9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Sedentary behavior</w:t>
            </w:r>
          </w:p>
        </w:tc>
        <w:tc>
          <w:tcPr>
            <w:tcW w:w="408" w:type="pct"/>
            <w:tcBorders>
              <w:top w:val="single" w:color="000000" w:sz="4" w:space="0"/>
              <w:left w:val="nil"/>
              <w:bottom w:val="nil"/>
              <w:right w:val="nil"/>
            </w:tcBorders>
            <w:shd w:val="clear" w:color="auto" w:fill="FFFFFF"/>
            <w:vAlign w:val="center"/>
          </w:tcPr>
          <w:p w14:paraId="7186B8A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LT1</w:t>
            </w:r>
          </w:p>
        </w:tc>
        <w:tc>
          <w:tcPr>
            <w:tcW w:w="1549" w:type="pct"/>
            <w:tcBorders>
              <w:top w:val="single" w:color="000000" w:sz="4" w:space="0"/>
              <w:left w:val="nil"/>
              <w:bottom w:val="nil"/>
              <w:right w:val="nil"/>
            </w:tcBorders>
            <w:shd w:val="clear" w:color="auto" w:fill="FFFFFF"/>
            <w:vAlign w:val="center"/>
          </w:tcPr>
          <w:p w14:paraId="7D090E00">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often sit continuously for more than 1 hour while studying, reading, or using electronic devices.</w:t>
            </w:r>
          </w:p>
        </w:tc>
        <w:tc>
          <w:tcPr>
            <w:tcW w:w="363" w:type="pct"/>
            <w:tcBorders>
              <w:top w:val="single" w:color="000000" w:sz="4" w:space="0"/>
              <w:left w:val="nil"/>
              <w:bottom w:val="nil"/>
              <w:right w:val="nil"/>
            </w:tcBorders>
            <w:shd w:val="clear" w:color="auto" w:fill="FFFFFF"/>
            <w:vAlign w:val="center"/>
          </w:tcPr>
          <w:p w14:paraId="195ED3B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single" w:color="000000" w:sz="4" w:space="0"/>
              <w:left w:val="nil"/>
              <w:bottom w:val="nil"/>
              <w:right w:val="nil"/>
            </w:tcBorders>
            <w:shd w:val="clear" w:color="auto" w:fill="FFFFFF"/>
            <w:vAlign w:val="center"/>
          </w:tcPr>
          <w:p w14:paraId="3470BBF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single" w:color="000000" w:sz="4" w:space="0"/>
              <w:left w:val="nil"/>
              <w:bottom w:val="nil"/>
              <w:right w:val="nil"/>
            </w:tcBorders>
            <w:shd w:val="clear" w:color="auto" w:fill="FFFFFF"/>
            <w:vAlign w:val="center"/>
          </w:tcPr>
          <w:p w14:paraId="432BACF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single" w:color="000000" w:sz="4" w:space="0"/>
              <w:left w:val="nil"/>
              <w:bottom w:val="nil"/>
              <w:right w:val="nil"/>
            </w:tcBorders>
            <w:shd w:val="clear" w:color="auto" w:fill="FFFFFF"/>
            <w:vAlign w:val="center"/>
          </w:tcPr>
          <w:p w14:paraId="602FA3C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single" w:color="000000" w:sz="4" w:space="0"/>
              <w:left w:val="nil"/>
              <w:bottom w:val="nil"/>
              <w:right w:val="nil"/>
            </w:tcBorders>
            <w:shd w:val="clear" w:color="auto" w:fill="FFFFFF"/>
            <w:vAlign w:val="center"/>
          </w:tcPr>
          <w:p w14:paraId="6271217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28DD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5A51F79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w:t>
            </w:r>
          </w:p>
        </w:tc>
        <w:tc>
          <w:tcPr>
            <w:tcW w:w="517" w:type="pct"/>
            <w:tcBorders>
              <w:top w:val="nil"/>
              <w:left w:val="nil"/>
              <w:bottom w:val="nil"/>
              <w:right w:val="nil"/>
            </w:tcBorders>
            <w:shd w:val="clear" w:color="auto" w:fill="FFFFFF"/>
            <w:vAlign w:val="center"/>
          </w:tcPr>
          <w:p w14:paraId="12917C0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Sedentary behavior</w:t>
            </w:r>
          </w:p>
        </w:tc>
        <w:tc>
          <w:tcPr>
            <w:tcW w:w="408" w:type="pct"/>
            <w:tcBorders>
              <w:top w:val="nil"/>
              <w:left w:val="nil"/>
              <w:bottom w:val="nil"/>
              <w:right w:val="nil"/>
            </w:tcBorders>
            <w:shd w:val="clear" w:color="auto" w:fill="FFFFFF"/>
            <w:vAlign w:val="center"/>
          </w:tcPr>
          <w:p w14:paraId="1AAC921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LT2</w:t>
            </w:r>
          </w:p>
        </w:tc>
        <w:tc>
          <w:tcPr>
            <w:tcW w:w="1549" w:type="pct"/>
            <w:tcBorders>
              <w:top w:val="nil"/>
              <w:left w:val="nil"/>
              <w:bottom w:val="nil"/>
              <w:right w:val="nil"/>
            </w:tcBorders>
            <w:shd w:val="clear" w:color="auto" w:fill="FFFFFF"/>
            <w:vAlign w:val="center"/>
          </w:tcPr>
          <w:p w14:paraId="207F7C52">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often spend a long time sitting after school while studying, doing homework, watching television, or using electronic devices.</w:t>
            </w:r>
          </w:p>
        </w:tc>
        <w:tc>
          <w:tcPr>
            <w:tcW w:w="363" w:type="pct"/>
            <w:tcBorders>
              <w:top w:val="nil"/>
              <w:left w:val="nil"/>
              <w:bottom w:val="nil"/>
              <w:right w:val="nil"/>
            </w:tcBorders>
            <w:shd w:val="clear" w:color="auto" w:fill="FFFFFF"/>
            <w:vAlign w:val="center"/>
          </w:tcPr>
          <w:p w14:paraId="2087A70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26E641C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65D01E4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6DBE1D3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1DF9A09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32F9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2B74322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3</w:t>
            </w:r>
          </w:p>
        </w:tc>
        <w:tc>
          <w:tcPr>
            <w:tcW w:w="517" w:type="pct"/>
            <w:tcBorders>
              <w:top w:val="nil"/>
              <w:left w:val="nil"/>
              <w:bottom w:val="nil"/>
              <w:right w:val="nil"/>
            </w:tcBorders>
            <w:shd w:val="clear" w:color="auto" w:fill="FFFFFF"/>
            <w:vAlign w:val="center"/>
          </w:tcPr>
          <w:p w14:paraId="356FEE9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Sedentary behavior</w:t>
            </w:r>
          </w:p>
        </w:tc>
        <w:tc>
          <w:tcPr>
            <w:tcW w:w="408" w:type="pct"/>
            <w:tcBorders>
              <w:top w:val="nil"/>
              <w:left w:val="nil"/>
              <w:bottom w:val="nil"/>
              <w:right w:val="nil"/>
            </w:tcBorders>
            <w:shd w:val="clear" w:color="auto" w:fill="FFFFFF"/>
            <w:vAlign w:val="center"/>
          </w:tcPr>
          <w:p w14:paraId="41E7D68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LT3</w:t>
            </w:r>
          </w:p>
        </w:tc>
        <w:tc>
          <w:tcPr>
            <w:tcW w:w="1549" w:type="pct"/>
            <w:tcBorders>
              <w:top w:val="nil"/>
              <w:left w:val="nil"/>
              <w:bottom w:val="nil"/>
              <w:right w:val="nil"/>
            </w:tcBorders>
            <w:shd w:val="clear" w:color="auto" w:fill="FFFFFF"/>
            <w:vAlign w:val="center"/>
          </w:tcPr>
          <w:p w14:paraId="2E1EF328">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When sitting for a long time, I rarely get up voluntarily to move or stretch my body.</w:t>
            </w:r>
          </w:p>
        </w:tc>
        <w:tc>
          <w:tcPr>
            <w:tcW w:w="363" w:type="pct"/>
            <w:tcBorders>
              <w:top w:val="nil"/>
              <w:left w:val="nil"/>
              <w:bottom w:val="nil"/>
              <w:right w:val="nil"/>
            </w:tcBorders>
            <w:shd w:val="clear" w:color="auto" w:fill="FFFFFF"/>
            <w:vAlign w:val="center"/>
          </w:tcPr>
          <w:p w14:paraId="64E0639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3467F12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4CC5AAB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0F41394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125049A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1C0A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74D8C74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4</w:t>
            </w:r>
          </w:p>
        </w:tc>
        <w:tc>
          <w:tcPr>
            <w:tcW w:w="517" w:type="pct"/>
            <w:tcBorders>
              <w:top w:val="nil"/>
              <w:left w:val="nil"/>
              <w:bottom w:val="nil"/>
              <w:right w:val="nil"/>
            </w:tcBorders>
            <w:shd w:val="clear" w:color="auto" w:fill="FFFFFF"/>
            <w:vAlign w:val="center"/>
          </w:tcPr>
          <w:p w14:paraId="3FE539F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Unilateral force-dominant exercise</w:t>
            </w:r>
          </w:p>
        </w:tc>
        <w:tc>
          <w:tcPr>
            <w:tcW w:w="408" w:type="pct"/>
            <w:tcBorders>
              <w:top w:val="nil"/>
              <w:left w:val="nil"/>
              <w:bottom w:val="nil"/>
              <w:right w:val="nil"/>
            </w:tcBorders>
            <w:shd w:val="clear" w:color="auto" w:fill="FFFFFF"/>
            <w:vAlign w:val="center"/>
          </w:tcPr>
          <w:p w14:paraId="241A6DE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DF1</w:t>
            </w:r>
          </w:p>
        </w:tc>
        <w:tc>
          <w:tcPr>
            <w:tcW w:w="1549" w:type="pct"/>
            <w:tcBorders>
              <w:top w:val="nil"/>
              <w:left w:val="nil"/>
              <w:bottom w:val="nil"/>
              <w:right w:val="nil"/>
            </w:tcBorders>
            <w:shd w:val="clear" w:color="auto" w:fill="FFFFFF"/>
            <w:vAlign w:val="center"/>
          </w:tcPr>
          <w:p w14:paraId="5889E05D">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have long participated in sports that require more force from one side of the body.</w:t>
            </w:r>
          </w:p>
        </w:tc>
        <w:tc>
          <w:tcPr>
            <w:tcW w:w="363" w:type="pct"/>
            <w:tcBorders>
              <w:top w:val="nil"/>
              <w:left w:val="nil"/>
              <w:bottom w:val="nil"/>
              <w:right w:val="nil"/>
            </w:tcBorders>
            <w:shd w:val="clear" w:color="auto" w:fill="FFFFFF"/>
            <w:vAlign w:val="center"/>
          </w:tcPr>
          <w:p w14:paraId="2931EA9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68FF0CE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49956EA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673EF4E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204FF2E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2B54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4C8FCA6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5</w:t>
            </w:r>
          </w:p>
        </w:tc>
        <w:tc>
          <w:tcPr>
            <w:tcW w:w="517" w:type="pct"/>
            <w:tcBorders>
              <w:top w:val="nil"/>
              <w:left w:val="nil"/>
              <w:bottom w:val="nil"/>
              <w:right w:val="nil"/>
            </w:tcBorders>
            <w:shd w:val="clear" w:color="auto" w:fill="FFFFFF"/>
            <w:vAlign w:val="center"/>
          </w:tcPr>
          <w:p w14:paraId="6A6EFBF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Unilateral force-dominant exercise</w:t>
            </w:r>
          </w:p>
        </w:tc>
        <w:tc>
          <w:tcPr>
            <w:tcW w:w="408" w:type="pct"/>
            <w:tcBorders>
              <w:top w:val="nil"/>
              <w:left w:val="nil"/>
              <w:bottom w:val="nil"/>
              <w:right w:val="nil"/>
            </w:tcBorders>
            <w:shd w:val="clear" w:color="auto" w:fill="FFFFFF"/>
            <w:vAlign w:val="center"/>
          </w:tcPr>
          <w:p w14:paraId="39EF48A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DF2</w:t>
            </w:r>
          </w:p>
        </w:tc>
        <w:tc>
          <w:tcPr>
            <w:tcW w:w="1549" w:type="pct"/>
            <w:tcBorders>
              <w:top w:val="nil"/>
              <w:left w:val="nil"/>
              <w:bottom w:val="nil"/>
              <w:right w:val="nil"/>
            </w:tcBorders>
            <w:shd w:val="clear" w:color="auto" w:fill="FFFFFF"/>
            <w:vAlign w:val="center"/>
          </w:tcPr>
          <w:p w14:paraId="00D4E5A4">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During exercise, I more often use one side of my body to exert force.</w:t>
            </w:r>
          </w:p>
        </w:tc>
        <w:tc>
          <w:tcPr>
            <w:tcW w:w="363" w:type="pct"/>
            <w:tcBorders>
              <w:top w:val="nil"/>
              <w:left w:val="nil"/>
              <w:bottom w:val="nil"/>
              <w:right w:val="nil"/>
            </w:tcBorders>
            <w:shd w:val="clear" w:color="auto" w:fill="FFFFFF"/>
            <w:vAlign w:val="center"/>
          </w:tcPr>
          <w:p w14:paraId="7CA0B99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53C6AFB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2C6F3E1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0EA50A5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4D265CF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0653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15CB872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6</w:t>
            </w:r>
          </w:p>
        </w:tc>
        <w:tc>
          <w:tcPr>
            <w:tcW w:w="517" w:type="pct"/>
            <w:tcBorders>
              <w:top w:val="nil"/>
              <w:left w:val="nil"/>
              <w:bottom w:val="nil"/>
              <w:right w:val="nil"/>
            </w:tcBorders>
            <w:shd w:val="clear" w:color="auto" w:fill="FFFFFF"/>
            <w:vAlign w:val="center"/>
          </w:tcPr>
          <w:p w14:paraId="787FBBA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Unilateral force-dominant exercise</w:t>
            </w:r>
          </w:p>
        </w:tc>
        <w:tc>
          <w:tcPr>
            <w:tcW w:w="408" w:type="pct"/>
            <w:tcBorders>
              <w:top w:val="nil"/>
              <w:left w:val="nil"/>
              <w:bottom w:val="nil"/>
              <w:right w:val="nil"/>
            </w:tcBorders>
            <w:shd w:val="clear" w:color="auto" w:fill="FFFFFF"/>
            <w:vAlign w:val="center"/>
          </w:tcPr>
          <w:p w14:paraId="0CD03E5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DF3</w:t>
            </w:r>
          </w:p>
        </w:tc>
        <w:tc>
          <w:tcPr>
            <w:tcW w:w="1549" w:type="pct"/>
            <w:tcBorders>
              <w:top w:val="nil"/>
              <w:left w:val="nil"/>
              <w:bottom w:val="nil"/>
              <w:right w:val="nil"/>
            </w:tcBorders>
            <w:shd w:val="clear" w:color="auto" w:fill="FFFFFF"/>
            <w:vAlign w:val="center"/>
          </w:tcPr>
          <w:p w14:paraId="2BD4FCB7">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The sports I participate in often involve unilateral and repetitive movements.</w:t>
            </w:r>
          </w:p>
        </w:tc>
        <w:tc>
          <w:tcPr>
            <w:tcW w:w="363" w:type="pct"/>
            <w:tcBorders>
              <w:top w:val="nil"/>
              <w:left w:val="nil"/>
              <w:bottom w:val="nil"/>
              <w:right w:val="nil"/>
            </w:tcBorders>
            <w:shd w:val="clear" w:color="auto" w:fill="FFFFFF"/>
            <w:vAlign w:val="center"/>
          </w:tcPr>
          <w:p w14:paraId="0C75ABD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7117BE9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5EADF37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3316BA8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7607AB9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19E1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6CB4A58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7</w:t>
            </w:r>
          </w:p>
        </w:tc>
        <w:tc>
          <w:tcPr>
            <w:tcW w:w="517" w:type="pct"/>
            <w:tcBorders>
              <w:top w:val="nil"/>
              <w:left w:val="nil"/>
              <w:bottom w:val="nil"/>
              <w:right w:val="nil"/>
            </w:tcBorders>
            <w:shd w:val="clear" w:color="auto" w:fill="FFFFFF"/>
            <w:vAlign w:val="center"/>
          </w:tcPr>
          <w:p w14:paraId="2F409A9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Insufficient physical activity</w:t>
            </w:r>
          </w:p>
        </w:tc>
        <w:tc>
          <w:tcPr>
            <w:tcW w:w="408" w:type="pct"/>
            <w:tcBorders>
              <w:top w:val="nil"/>
              <w:left w:val="nil"/>
              <w:bottom w:val="nil"/>
              <w:right w:val="nil"/>
            </w:tcBorders>
            <w:shd w:val="clear" w:color="auto" w:fill="FFFFFF"/>
            <w:vAlign w:val="center"/>
          </w:tcPr>
          <w:p w14:paraId="32BB48C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YD1</w:t>
            </w:r>
          </w:p>
        </w:tc>
        <w:tc>
          <w:tcPr>
            <w:tcW w:w="1549" w:type="pct"/>
            <w:tcBorders>
              <w:top w:val="nil"/>
              <w:left w:val="nil"/>
              <w:bottom w:val="nil"/>
              <w:right w:val="nil"/>
            </w:tcBorders>
            <w:shd w:val="clear" w:color="auto" w:fill="FFFFFF"/>
            <w:vAlign w:val="center"/>
          </w:tcPr>
          <w:p w14:paraId="13F80F1C">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The total amount of time I spend on physical exercise each week is relatively low.</w:t>
            </w:r>
          </w:p>
        </w:tc>
        <w:tc>
          <w:tcPr>
            <w:tcW w:w="363" w:type="pct"/>
            <w:tcBorders>
              <w:top w:val="nil"/>
              <w:left w:val="nil"/>
              <w:bottom w:val="nil"/>
              <w:right w:val="nil"/>
            </w:tcBorders>
            <w:shd w:val="clear" w:color="auto" w:fill="FFFFFF"/>
            <w:vAlign w:val="center"/>
          </w:tcPr>
          <w:p w14:paraId="52DBE16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042742D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4D0E64F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4C9A358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47E2F8E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294B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405D3E6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8</w:t>
            </w:r>
          </w:p>
        </w:tc>
        <w:tc>
          <w:tcPr>
            <w:tcW w:w="517" w:type="pct"/>
            <w:tcBorders>
              <w:top w:val="nil"/>
              <w:left w:val="nil"/>
              <w:bottom w:val="nil"/>
              <w:right w:val="nil"/>
            </w:tcBorders>
            <w:shd w:val="clear" w:color="auto" w:fill="FFFFFF"/>
            <w:vAlign w:val="center"/>
          </w:tcPr>
          <w:p w14:paraId="586EF9D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Insufficient physical activity</w:t>
            </w:r>
          </w:p>
        </w:tc>
        <w:tc>
          <w:tcPr>
            <w:tcW w:w="408" w:type="pct"/>
            <w:tcBorders>
              <w:top w:val="nil"/>
              <w:left w:val="nil"/>
              <w:bottom w:val="nil"/>
              <w:right w:val="nil"/>
            </w:tcBorders>
            <w:shd w:val="clear" w:color="auto" w:fill="FFFFFF"/>
            <w:vAlign w:val="center"/>
          </w:tcPr>
          <w:p w14:paraId="209BF1E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YD2</w:t>
            </w:r>
          </w:p>
        </w:tc>
        <w:tc>
          <w:tcPr>
            <w:tcW w:w="1549" w:type="pct"/>
            <w:tcBorders>
              <w:top w:val="nil"/>
              <w:left w:val="nil"/>
              <w:bottom w:val="nil"/>
              <w:right w:val="nil"/>
            </w:tcBorders>
            <w:shd w:val="clear" w:color="auto" w:fill="FFFFFF"/>
            <w:vAlign w:val="center"/>
          </w:tcPr>
          <w:p w14:paraId="5B623C5F">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rarely participate voluntarily in physical activity during my spare time.</w:t>
            </w:r>
          </w:p>
        </w:tc>
        <w:tc>
          <w:tcPr>
            <w:tcW w:w="363" w:type="pct"/>
            <w:tcBorders>
              <w:top w:val="nil"/>
              <w:left w:val="nil"/>
              <w:bottom w:val="nil"/>
              <w:right w:val="nil"/>
            </w:tcBorders>
            <w:shd w:val="clear" w:color="auto" w:fill="FFFFFF"/>
            <w:vAlign w:val="center"/>
          </w:tcPr>
          <w:p w14:paraId="63F77FD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618E9B9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763F467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51ED5B7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73BFDC3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7BE4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68F5C4F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9</w:t>
            </w:r>
          </w:p>
        </w:tc>
        <w:tc>
          <w:tcPr>
            <w:tcW w:w="517" w:type="pct"/>
            <w:tcBorders>
              <w:top w:val="nil"/>
              <w:left w:val="nil"/>
              <w:bottom w:val="nil"/>
              <w:right w:val="nil"/>
            </w:tcBorders>
            <w:shd w:val="clear" w:color="auto" w:fill="FFFFFF"/>
            <w:vAlign w:val="center"/>
          </w:tcPr>
          <w:p w14:paraId="294A8EE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Insufficient physical activity</w:t>
            </w:r>
          </w:p>
        </w:tc>
        <w:tc>
          <w:tcPr>
            <w:tcW w:w="408" w:type="pct"/>
            <w:tcBorders>
              <w:top w:val="nil"/>
              <w:left w:val="nil"/>
              <w:bottom w:val="nil"/>
              <w:right w:val="nil"/>
            </w:tcBorders>
            <w:shd w:val="clear" w:color="auto" w:fill="FFFFFF"/>
            <w:vAlign w:val="center"/>
          </w:tcPr>
          <w:p w14:paraId="17D4A21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YD3</w:t>
            </w:r>
          </w:p>
        </w:tc>
        <w:tc>
          <w:tcPr>
            <w:tcW w:w="1549" w:type="pct"/>
            <w:tcBorders>
              <w:top w:val="nil"/>
              <w:left w:val="nil"/>
              <w:bottom w:val="nil"/>
              <w:right w:val="nil"/>
            </w:tcBorders>
            <w:shd w:val="clear" w:color="auto" w:fill="FFFFFF"/>
            <w:vAlign w:val="center"/>
          </w:tcPr>
          <w:p w14:paraId="4735727A">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participate in moderate-to-vigorous physical activity relatively few times each week.</w:t>
            </w:r>
          </w:p>
        </w:tc>
        <w:tc>
          <w:tcPr>
            <w:tcW w:w="363" w:type="pct"/>
            <w:tcBorders>
              <w:top w:val="nil"/>
              <w:left w:val="nil"/>
              <w:bottom w:val="nil"/>
              <w:right w:val="nil"/>
            </w:tcBorders>
            <w:shd w:val="clear" w:color="auto" w:fill="FFFFFF"/>
            <w:vAlign w:val="center"/>
          </w:tcPr>
          <w:p w14:paraId="3E5038F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7DFEF0D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35C312A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0030CAF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51AAB5E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0B73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6F2E42F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10</w:t>
            </w:r>
          </w:p>
        </w:tc>
        <w:tc>
          <w:tcPr>
            <w:tcW w:w="517" w:type="pct"/>
            <w:tcBorders>
              <w:top w:val="nil"/>
              <w:left w:val="nil"/>
              <w:bottom w:val="nil"/>
              <w:right w:val="nil"/>
            </w:tcBorders>
            <w:shd w:val="clear" w:color="auto" w:fill="FFFFFF"/>
            <w:vAlign w:val="center"/>
          </w:tcPr>
          <w:p w14:paraId="0006D6D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Insufficient outdoor activity</w:t>
            </w:r>
          </w:p>
        </w:tc>
        <w:tc>
          <w:tcPr>
            <w:tcW w:w="408" w:type="pct"/>
            <w:tcBorders>
              <w:top w:val="nil"/>
              <w:left w:val="nil"/>
              <w:bottom w:val="nil"/>
              <w:right w:val="nil"/>
            </w:tcBorders>
            <w:shd w:val="clear" w:color="auto" w:fill="FFFFFF"/>
            <w:vAlign w:val="center"/>
          </w:tcPr>
          <w:p w14:paraId="40D89E8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HW1</w:t>
            </w:r>
          </w:p>
        </w:tc>
        <w:tc>
          <w:tcPr>
            <w:tcW w:w="1549" w:type="pct"/>
            <w:tcBorders>
              <w:top w:val="nil"/>
              <w:left w:val="nil"/>
              <w:bottom w:val="nil"/>
              <w:right w:val="nil"/>
            </w:tcBorders>
            <w:shd w:val="clear" w:color="auto" w:fill="FFFFFF"/>
            <w:vAlign w:val="center"/>
          </w:tcPr>
          <w:p w14:paraId="1354C4EE">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The amount of time I spend outdoors each day is relatively low.</w:t>
            </w:r>
          </w:p>
        </w:tc>
        <w:tc>
          <w:tcPr>
            <w:tcW w:w="363" w:type="pct"/>
            <w:tcBorders>
              <w:top w:val="nil"/>
              <w:left w:val="nil"/>
              <w:bottom w:val="nil"/>
              <w:right w:val="nil"/>
            </w:tcBorders>
            <w:shd w:val="clear" w:color="auto" w:fill="FFFFFF"/>
            <w:vAlign w:val="center"/>
          </w:tcPr>
          <w:p w14:paraId="2F6283B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3CF5EB4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2EA6B93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26548F8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6AA9DDE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3EF6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67B9763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11</w:t>
            </w:r>
          </w:p>
        </w:tc>
        <w:tc>
          <w:tcPr>
            <w:tcW w:w="517" w:type="pct"/>
            <w:tcBorders>
              <w:top w:val="nil"/>
              <w:left w:val="nil"/>
              <w:bottom w:val="nil"/>
              <w:right w:val="nil"/>
            </w:tcBorders>
            <w:shd w:val="clear" w:color="auto" w:fill="FFFFFF"/>
            <w:vAlign w:val="center"/>
          </w:tcPr>
          <w:p w14:paraId="798DC6D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Insufficient outdoor activity</w:t>
            </w:r>
          </w:p>
        </w:tc>
        <w:tc>
          <w:tcPr>
            <w:tcW w:w="408" w:type="pct"/>
            <w:tcBorders>
              <w:top w:val="nil"/>
              <w:left w:val="nil"/>
              <w:bottom w:val="nil"/>
              <w:right w:val="nil"/>
            </w:tcBorders>
            <w:shd w:val="clear" w:color="auto" w:fill="FFFFFF"/>
            <w:vAlign w:val="center"/>
          </w:tcPr>
          <w:p w14:paraId="08BCE78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HW2</w:t>
            </w:r>
          </w:p>
        </w:tc>
        <w:tc>
          <w:tcPr>
            <w:tcW w:w="1549" w:type="pct"/>
            <w:tcBorders>
              <w:top w:val="nil"/>
              <w:left w:val="nil"/>
              <w:bottom w:val="nil"/>
              <w:right w:val="nil"/>
            </w:tcBorders>
            <w:shd w:val="clear" w:color="auto" w:fill="FFFFFF"/>
            <w:vAlign w:val="center"/>
          </w:tcPr>
          <w:p w14:paraId="3EB7C8F0">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rarely participate in outdoor sports after school or on weekends.</w:t>
            </w:r>
          </w:p>
        </w:tc>
        <w:tc>
          <w:tcPr>
            <w:tcW w:w="363" w:type="pct"/>
            <w:tcBorders>
              <w:top w:val="nil"/>
              <w:left w:val="nil"/>
              <w:bottom w:val="nil"/>
              <w:right w:val="nil"/>
            </w:tcBorders>
            <w:shd w:val="clear" w:color="auto" w:fill="FFFFFF"/>
            <w:vAlign w:val="center"/>
          </w:tcPr>
          <w:p w14:paraId="4A3A416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73DE4DB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2022DB7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4E5BFD4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0222744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3681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31435DF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12</w:t>
            </w:r>
          </w:p>
        </w:tc>
        <w:tc>
          <w:tcPr>
            <w:tcW w:w="517" w:type="pct"/>
            <w:tcBorders>
              <w:top w:val="nil"/>
              <w:left w:val="nil"/>
              <w:bottom w:val="nil"/>
              <w:right w:val="nil"/>
            </w:tcBorders>
            <w:shd w:val="clear" w:color="auto" w:fill="FFFFFF"/>
            <w:vAlign w:val="center"/>
          </w:tcPr>
          <w:p w14:paraId="69C1C83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Insufficient outdoor activity</w:t>
            </w:r>
          </w:p>
        </w:tc>
        <w:tc>
          <w:tcPr>
            <w:tcW w:w="408" w:type="pct"/>
            <w:tcBorders>
              <w:top w:val="nil"/>
              <w:left w:val="nil"/>
              <w:bottom w:val="nil"/>
              <w:right w:val="nil"/>
            </w:tcBorders>
            <w:shd w:val="clear" w:color="auto" w:fill="FFFFFF"/>
            <w:vAlign w:val="center"/>
          </w:tcPr>
          <w:p w14:paraId="5CE455B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HW3</w:t>
            </w:r>
          </w:p>
        </w:tc>
        <w:tc>
          <w:tcPr>
            <w:tcW w:w="1549" w:type="pct"/>
            <w:tcBorders>
              <w:top w:val="nil"/>
              <w:left w:val="nil"/>
              <w:bottom w:val="nil"/>
              <w:right w:val="nil"/>
            </w:tcBorders>
            <w:shd w:val="clear" w:color="auto" w:fill="FFFFFF"/>
            <w:vAlign w:val="center"/>
          </w:tcPr>
          <w:p w14:paraId="09F81128">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have relatively few opportunities for sun exposure and outdoor activities.</w:t>
            </w:r>
          </w:p>
        </w:tc>
        <w:tc>
          <w:tcPr>
            <w:tcW w:w="363" w:type="pct"/>
            <w:tcBorders>
              <w:top w:val="nil"/>
              <w:left w:val="nil"/>
              <w:bottom w:val="nil"/>
              <w:right w:val="nil"/>
            </w:tcBorders>
            <w:shd w:val="clear" w:color="auto" w:fill="FFFFFF"/>
            <w:vAlign w:val="center"/>
          </w:tcPr>
          <w:p w14:paraId="4B2126B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1D99DE5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4AFEFAD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1FF8950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464B813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2892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321C5EE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13</w:t>
            </w:r>
          </w:p>
        </w:tc>
        <w:tc>
          <w:tcPr>
            <w:tcW w:w="517" w:type="pct"/>
            <w:tcBorders>
              <w:top w:val="nil"/>
              <w:left w:val="nil"/>
              <w:bottom w:val="nil"/>
              <w:right w:val="nil"/>
            </w:tcBorders>
            <w:shd w:val="clear" w:color="auto" w:fill="FFFFFF"/>
            <w:vAlign w:val="center"/>
          </w:tcPr>
          <w:p w14:paraId="49D6CD2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Screen use</w:t>
            </w:r>
          </w:p>
        </w:tc>
        <w:tc>
          <w:tcPr>
            <w:tcW w:w="408" w:type="pct"/>
            <w:tcBorders>
              <w:top w:val="nil"/>
              <w:left w:val="nil"/>
              <w:bottom w:val="nil"/>
              <w:right w:val="nil"/>
            </w:tcBorders>
            <w:shd w:val="clear" w:color="auto" w:fill="FFFFFF"/>
            <w:vAlign w:val="center"/>
          </w:tcPr>
          <w:p w14:paraId="07F007C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PM1</w:t>
            </w:r>
          </w:p>
        </w:tc>
        <w:tc>
          <w:tcPr>
            <w:tcW w:w="1549" w:type="pct"/>
            <w:tcBorders>
              <w:top w:val="nil"/>
              <w:left w:val="nil"/>
              <w:bottom w:val="nil"/>
              <w:right w:val="nil"/>
            </w:tcBorders>
            <w:shd w:val="clear" w:color="auto" w:fill="FFFFFF"/>
            <w:vAlign w:val="center"/>
          </w:tcPr>
          <w:p w14:paraId="4415205D">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spend a relatively long time each day using electronic devices such as mobile phones, tablets, computers, or television.</w:t>
            </w:r>
          </w:p>
        </w:tc>
        <w:tc>
          <w:tcPr>
            <w:tcW w:w="363" w:type="pct"/>
            <w:tcBorders>
              <w:top w:val="nil"/>
              <w:left w:val="nil"/>
              <w:bottom w:val="nil"/>
              <w:right w:val="nil"/>
            </w:tcBorders>
            <w:shd w:val="clear" w:color="auto" w:fill="FFFFFF"/>
            <w:vAlign w:val="center"/>
          </w:tcPr>
          <w:p w14:paraId="3B89A0A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4F434AF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266E69A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2550DFD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3E3D056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5621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4B77E0A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14</w:t>
            </w:r>
          </w:p>
        </w:tc>
        <w:tc>
          <w:tcPr>
            <w:tcW w:w="517" w:type="pct"/>
            <w:tcBorders>
              <w:top w:val="nil"/>
              <w:left w:val="nil"/>
              <w:bottom w:val="nil"/>
              <w:right w:val="nil"/>
            </w:tcBorders>
            <w:shd w:val="clear" w:color="auto" w:fill="FFFFFF"/>
            <w:vAlign w:val="center"/>
          </w:tcPr>
          <w:p w14:paraId="1635537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Screen use</w:t>
            </w:r>
          </w:p>
        </w:tc>
        <w:tc>
          <w:tcPr>
            <w:tcW w:w="408" w:type="pct"/>
            <w:tcBorders>
              <w:top w:val="nil"/>
              <w:left w:val="nil"/>
              <w:bottom w:val="nil"/>
              <w:right w:val="nil"/>
            </w:tcBorders>
            <w:shd w:val="clear" w:color="auto" w:fill="FFFFFF"/>
            <w:vAlign w:val="center"/>
          </w:tcPr>
          <w:p w14:paraId="5607CD5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PM2</w:t>
            </w:r>
          </w:p>
        </w:tc>
        <w:tc>
          <w:tcPr>
            <w:tcW w:w="1549" w:type="pct"/>
            <w:tcBorders>
              <w:top w:val="nil"/>
              <w:left w:val="nil"/>
              <w:bottom w:val="nil"/>
              <w:right w:val="nil"/>
            </w:tcBorders>
            <w:shd w:val="clear" w:color="auto" w:fill="FFFFFF"/>
            <w:vAlign w:val="center"/>
          </w:tcPr>
          <w:p w14:paraId="4AC7B448">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often use electronic devices continuously for more than 1 hour.</w:t>
            </w:r>
          </w:p>
        </w:tc>
        <w:tc>
          <w:tcPr>
            <w:tcW w:w="363" w:type="pct"/>
            <w:tcBorders>
              <w:top w:val="nil"/>
              <w:left w:val="nil"/>
              <w:bottom w:val="nil"/>
              <w:right w:val="nil"/>
            </w:tcBorders>
            <w:shd w:val="clear" w:color="auto" w:fill="FFFFFF"/>
            <w:vAlign w:val="center"/>
          </w:tcPr>
          <w:p w14:paraId="4797C45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713820C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46E59BD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7D41CE1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50CB94A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6E6D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07C5200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15</w:t>
            </w:r>
          </w:p>
        </w:tc>
        <w:tc>
          <w:tcPr>
            <w:tcW w:w="517" w:type="pct"/>
            <w:tcBorders>
              <w:top w:val="nil"/>
              <w:left w:val="nil"/>
              <w:bottom w:val="nil"/>
              <w:right w:val="nil"/>
            </w:tcBorders>
            <w:shd w:val="clear" w:color="auto" w:fill="FFFFFF"/>
            <w:vAlign w:val="center"/>
          </w:tcPr>
          <w:p w14:paraId="47AF1B3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Screen use</w:t>
            </w:r>
          </w:p>
        </w:tc>
        <w:tc>
          <w:tcPr>
            <w:tcW w:w="408" w:type="pct"/>
            <w:tcBorders>
              <w:top w:val="nil"/>
              <w:left w:val="nil"/>
              <w:bottom w:val="nil"/>
              <w:right w:val="nil"/>
            </w:tcBorders>
            <w:shd w:val="clear" w:color="auto" w:fill="FFFFFF"/>
            <w:vAlign w:val="center"/>
          </w:tcPr>
          <w:p w14:paraId="7DA8669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PM3</w:t>
            </w:r>
          </w:p>
        </w:tc>
        <w:tc>
          <w:tcPr>
            <w:tcW w:w="1549" w:type="pct"/>
            <w:tcBorders>
              <w:top w:val="nil"/>
              <w:left w:val="nil"/>
              <w:bottom w:val="nil"/>
              <w:right w:val="nil"/>
            </w:tcBorders>
            <w:shd w:val="clear" w:color="auto" w:fill="FFFFFF"/>
            <w:vAlign w:val="center"/>
          </w:tcPr>
          <w:p w14:paraId="4835D1EE">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often use electronic devices for a long time before going to sleep.</w:t>
            </w:r>
          </w:p>
        </w:tc>
        <w:tc>
          <w:tcPr>
            <w:tcW w:w="363" w:type="pct"/>
            <w:tcBorders>
              <w:top w:val="nil"/>
              <w:left w:val="nil"/>
              <w:bottom w:val="nil"/>
              <w:right w:val="nil"/>
            </w:tcBorders>
            <w:shd w:val="clear" w:color="auto" w:fill="FFFFFF"/>
            <w:vAlign w:val="center"/>
          </w:tcPr>
          <w:p w14:paraId="09E1A90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5845F7F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236B0FE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757FE0F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2640C95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37E1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162DB9E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16</w:t>
            </w:r>
          </w:p>
        </w:tc>
        <w:tc>
          <w:tcPr>
            <w:tcW w:w="517" w:type="pct"/>
            <w:tcBorders>
              <w:top w:val="nil"/>
              <w:left w:val="nil"/>
              <w:bottom w:val="nil"/>
              <w:right w:val="nil"/>
            </w:tcBorders>
            <w:shd w:val="clear" w:color="auto" w:fill="FFFFFF"/>
            <w:vAlign w:val="center"/>
          </w:tcPr>
          <w:p w14:paraId="68F6D13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Schoolbag burden</w:t>
            </w:r>
          </w:p>
        </w:tc>
        <w:tc>
          <w:tcPr>
            <w:tcW w:w="408" w:type="pct"/>
            <w:tcBorders>
              <w:top w:val="nil"/>
              <w:left w:val="nil"/>
              <w:bottom w:val="nil"/>
              <w:right w:val="nil"/>
            </w:tcBorders>
            <w:shd w:val="clear" w:color="auto" w:fill="FFFFFF"/>
            <w:vAlign w:val="center"/>
          </w:tcPr>
          <w:p w14:paraId="6A9DFEF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SB1</w:t>
            </w:r>
          </w:p>
        </w:tc>
        <w:tc>
          <w:tcPr>
            <w:tcW w:w="1549" w:type="pct"/>
            <w:tcBorders>
              <w:top w:val="nil"/>
              <w:left w:val="nil"/>
              <w:bottom w:val="nil"/>
              <w:right w:val="nil"/>
            </w:tcBorders>
            <w:shd w:val="clear" w:color="auto" w:fill="FFFFFF"/>
            <w:vAlign w:val="center"/>
          </w:tcPr>
          <w:p w14:paraId="2D724E8F">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My schoolbag is often relatively heavy.</w:t>
            </w:r>
          </w:p>
        </w:tc>
        <w:tc>
          <w:tcPr>
            <w:tcW w:w="363" w:type="pct"/>
            <w:tcBorders>
              <w:top w:val="nil"/>
              <w:left w:val="nil"/>
              <w:bottom w:val="nil"/>
              <w:right w:val="nil"/>
            </w:tcBorders>
            <w:shd w:val="clear" w:color="auto" w:fill="FFFFFF"/>
            <w:vAlign w:val="center"/>
          </w:tcPr>
          <w:p w14:paraId="3826FC9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1CB87A3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74AC5F7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7337275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6BD5990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7D02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36DB067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17</w:t>
            </w:r>
          </w:p>
        </w:tc>
        <w:tc>
          <w:tcPr>
            <w:tcW w:w="517" w:type="pct"/>
            <w:tcBorders>
              <w:top w:val="nil"/>
              <w:left w:val="nil"/>
              <w:bottom w:val="nil"/>
              <w:right w:val="nil"/>
            </w:tcBorders>
            <w:shd w:val="clear" w:color="auto" w:fill="FFFFFF"/>
            <w:vAlign w:val="center"/>
          </w:tcPr>
          <w:p w14:paraId="273138B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Schoolbag burden</w:t>
            </w:r>
          </w:p>
        </w:tc>
        <w:tc>
          <w:tcPr>
            <w:tcW w:w="408" w:type="pct"/>
            <w:tcBorders>
              <w:top w:val="nil"/>
              <w:left w:val="nil"/>
              <w:bottom w:val="nil"/>
              <w:right w:val="nil"/>
            </w:tcBorders>
            <w:shd w:val="clear" w:color="auto" w:fill="FFFFFF"/>
            <w:vAlign w:val="center"/>
          </w:tcPr>
          <w:p w14:paraId="3ED1AD8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SB2</w:t>
            </w:r>
          </w:p>
        </w:tc>
        <w:tc>
          <w:tcPr>
            <w:tcW w:w="1549" w:type="pct"/>
            <w:tcBorders>
              <w:top w:val="nil"/>
              <w:left w:val="nil"/>
              <w:bottom w:val="nil"/>
              <w:right w:val="nil"/>
            </w:tcBorders>
            <w:shd w:val="clear" w:color="auto" w:fill="FFFFFF"/>
            <w:vAlign w:val="center"/>
          </w:tcPr>
          <w:p w14:paraId="4AFFE65D">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When carrying my schoolbag, I often feel discomfort in my shoulders, back, or lower back.</w:t>
            </w:r>
          </w:p>
        </w:tc>
        <w:tc>
          <w:tcPr>
            <w:tcW w:w="363" w:type="pct"/>
            <w:tcBorders>
              <w:top w:val="nil"/>
              <w:left w:val="nil"/>
              <w:bottom w:val="nil"/>
              <w:right w:val="nil"/>
            </w:tcBorders>
            <w:shd w:val="clear" w:color="auto" w:fill="FFFFFF"/>
            <w:vAlign w:val="center"/>
          </w:tcPr>
          <w:p w14:paraId="1645988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69E3121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1CA77B7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5A6B0F8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1822745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30F0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3372340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18</w:t>
            </w:r>
          </w:p>
        </w:tc>
        <w:tc>
          <w:tcPr>
            <w:tcW w:w="517" w:type="pct"/>
            <w:tcBorders>
              <w:top w:val="nil"/>
              <w:left w:val="nil"/>
              <w:bottom w:val="nil"/>
              <w:right w:val="nil"/>
            </w:tcBorders>
            <w:shd w:val="clear" w:color="auto" w:fill="FFFFFF"/>
            <w:vAlign w:val="center"/>
          </w:tcPr>
          <w:p w14:paraId="25DEE7E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Schoolbag burden</w:t>
            </w:r>
          </w:p>
        </w:tc>
        <w:tc>
          <w:tcPr>
            <w:tcW w:w="408" w:type="pct"/>
            <w:tcBorders>
              <w:top w:val="nil"/>
              <w:left w:val="nil"/>
              <w:bottom w:val="nil"/>
              <w:right w:val="nil"/>
            </w:tcBorders>
            <w:shd w:val="clear" w:color="auto" w:fill="FFFFFF"/>
            <w:vAlign w:val="center"/>
          </w:tcPr>
          <w:p w14:paraId="3A8EE1D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SB3</w:t>
            </w:r>
          </w:p>
        </w:tc>
        <w:tc>
          <w:tcPr>
            <w:tcW w:w="1549" w:type="pct"/>
            <w:tcBorders>
              <w:top w:val="nil"/>
              <w:left w:val="nil"/>
              <w:bottom w:val="nil"/>
              <w:right w:val="nil"/>
            </w:tcBorders>
            <w:shd w:val="clear" w:color="auto" w:fill="FFFFFF"/>
            <w:vAlign w:val="center"/>
          </w:tcPr>
          <w:p w14:paraId="0E1857D3">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often carry my schoolbag on one shoulder, or the load on the two sides is uneven.</w:t>
            </w:r>
          </w:p>
        </w:tc>
        <w:tc>
          <w:tcPr>
            <w:tcW w:w="363" w:type="pct"/>
            <w:tcBorders>
              <w:top w:val="nil"/>
              <w:left w:val="nil"/>
              <w:bottom w:val="nil"/>
              <w:right w:val="nil"/>
            </w:tcBorders>
            <w:shd w:val="clear" w:color="auto" w:fill="FFFFFF"/>
            <w:vAlign w:val="center"/>
          </w:tcPr>
          <w:p w14:paraId="6A5CC8C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3C289AB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7D17C20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6785FA4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73F66DC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45BC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3A163DB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19</w:t>
            </w:r>
          </w:p>
        </w:tc>
        <w:tc>
          <w:tcPr>
            <w:tcW w:w="517" w:type="pct"/>
            <w:tcBorders>
              <w:top w:val="nil"/>
              <w:left w:val="nil"/>
              <w:bottom w:val="nil"/>
              <w:right w:val="nil"/>
            </w:tcBorders>
            <w:shd w:val="clear" w:color="auto" w:fill="FFFFFF"/>
            <w:vAlign w:val="center"/>
          </w:tcPr>
          <w:p w14:paraId="4023FA1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Insufficient dairy product intake</w:t>
            </w:r>
          </w:p>
        </w:tc>
        <w:tc>
          <w:tcPr>
            <w:tcW w:w="408" w:type="pct"/>
            <w:tcBorders>
              <w:top w:val="nil"/>
              <w:left w:val="nil"/>
              <w:bottom w:val="nil"/>
              <w:right w:val="nil"/>
            </w:tcBorders>
            <w:shd w:val="clear" w:color="auto" w:fill="FFFFFF"/>
            <w:vAlign w:val="center"/>
          </w:tcPr>
          <w:p w14:paraId="2FBD411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NY1</w:t>
            </w:r>
          </w:p>
        </w:tc>
        <w:tc>
          <w:tcPr>
            <w:tcW w:w="1549" w:type="pct"/>
            <w:tcBorders>
              <w:top w:val="nil"/>
              <w:left w:val="nil"/>
              <w:bottom w:val="nil"/>
              <w:right w:val="nil"/>
            </w:tcBorders>
            <w:shd w:val="clear" w:color="auto" w:fill="FFFFFF"/>
            <w:vAlign w:val="center"/>
          </w:tcPr>
          <w:p w14:paraId="78E72994">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usually drink relatively little milk or yogurt.</w:t>
            </w:r>
          </w:p>
        </w:tc>
        <w:tc>
          <w:tcPr>
            <w:tcW w:w="363" w:type="pct"/>
            <w:tcBorders>
              <w:top w:val="nil"/>
              <w:left w:val="nil"/>
              <w:bottom w:val="nil"/>
              <w:right w:val="nil"/>
            </w:tcBorders>
            <w:shd w:val="clear" w:color="auto" w:fill="FFFFFF"/>
            <w:vAlign w:val="center"/>
          </w:tcPr>
          <w:p w14:paraId="465DE28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040FC64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550A438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174D22E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4AFE522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32CB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2590EDF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20</w:t>
            </w:r>
          </w:p>
        </w:tc>
        <w:tc>
          <w:tcPr>
            <w:tcW w:w="517" w:type="pct"/>
            <w:tcBorders>
              <w:top w:val="nil"/>
              <w:left w:val="nil"/>
              <w:bottom w:val="nil"/>
              <w:right w:val="nil"/>
            </w:tcBorders>
            <w:shd w:val="clear" w:color="auto" w:fill="FFFFFF"/>
            <w:vAlign w:val="center"/>
          </w:tcPr>
          <w:p w14:paraId="281F183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Insufficient dairy product intake</w:t>
            </w:r>
          </w:p>
        </w:tc>
        <w:tc>
          <w:tcPr>
            <w:tcW w:w="408" w:type="pct"/>
            <w:tcBorders>
              <w:top w:val="nil"/>
              <w:left w:val="nil"/>
              <w:bottom w:val="nil"/>
              <w:right w:val="nil"/>
            </w:tcBorders>
            <w:shd w:val="clear" w:color="auto" w:fill="FFFFFF"/>
            <w:vAlign w:val="center"/>
          </w:tcPr>
          <w:p w14:paraId="6480FA1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NY2</w:t>
            </w:r>
          </w:p>
        </w:tc>
        <w:tc>
          <w:tcPr>
            <w:tcW w:w="1549" w:type="pct"/>
            <w:tcBorders>
              <w:top w:val="nil"/>
              <w:left w:val="nil"/>
              <w:bottom w:val="nil"/>
              <w:right w:val="nil"/>
            </w:tcBorders>
            <w:shd w:val="clear" w:color="auto" w:fill="FFFFFF"/>
            <w:vAlign w:val="center"/>
          </w:tcPr>
          <w:p w14:paraId="698AB2B9">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usually consume relatively little cheese, dairy products, or other calcium-rich foods.</w:t>
            </w:r>
          </w:p>
        </w:tc>
        <w:tc>
          <w:tcPr>
            <w:tcW w:w="363" w:type="pct"/>
            <w:tcBorders>
              <w:top w:val="nil"/>
              <w:left w:val="nil"/>
              <w:bottom w:val="nil"/>
              <w:right w:val="nil"/>
            </w:tcBorders>
            <w:shd w:val="clear" w:color="auto" w:fill="FFFFFF"/>
            <w:vAlign w:val="center"/>
          </w:tcPr>
          <w:p w14:paraId="2FE4336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3B146CC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1C0EF55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1E4AFA0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5D1D082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4A34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39952FC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21</w:t>
            </w:r>
          </w:p>
        </w:tc>
        <w:tc>
          <w:tcPr>
            <w:tcW w:w="517" w:type="pct"/>
            <w:tcBorders>
              <w:top w:val="nil"/>
              <w:left w:val="nil"/>
              <w:bottom w:val="nil"/>
              <w:right w:val="nil"/>
            </w:tcBorders>
            <w:shd w:val="clear" w:color="auto" w:fill="FFFFFF"/>
            <w:vAlign w:val="center"/>
          </w:tcPr>
          <w:p w14:paraId="33383DB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Insufficient dairy product intake</w:t>
            </w:r>
          </w:p>
        </w:tc>
        <w:tc>
          <w:tcPr>
            <w:tcW w:w="408" w:type="pct"/>
            <w:tcBorders>
              <w:top w:val="nil"/>
              <w:left w:val="nil"/>
              <w:bottom w:val="nil"/>
              <w:right w:val="nil"/>
            </w:tcBorders>
            <w:shd w:val="clear" w:color="auto" w:fill="FFFFFF"/>
            <w:vAlign w:val="center"/>
          </w:tcPr>
          <w:p w14:paraId="3FDA8E3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NY3</w:t>
            </w:r>
          </w:p>
        </w:tc>
        <w:tc>
          <w:tcPr>
            <w:tcW w:w="1549" w:type="pct"/>
            <w:tcBorders>
              <w:top w:val="nil"/>
              <w:left w:val="nil"/>
              <w:bottom w:val="nil"/>
              <w:right w:val="nil"/>
            </w:tcBorders>
            <w:shd w:val="clear" w:color="auto" w:fill="FFFFFF"/>
            <w:vAlign w:val="center"/>
          </w:tcPr>
          <w:p w14:paraId="13C827F1">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cannot ensure daily intake of dairy products or calcium-rich foods.</w:t>
            </w:r>
          </w:p>
        </w:tc>
        <w:tc>
          <w:tcPr>
            <w:tcW w:w="363" w:type="pct"/>
            <w:tcBorders>
              <w:top w:val="nil"/>
              <w:left w:val="nil"/>
              <w:bottom w:val="nil"/>
              <w:right w:val="nil"/>
            </w:tcBorders>
            <w:shd w:val="clear" w:color="auto" w:fill="FFFFFF"/>
            <w:vAlign w:val="center"/>
          </w:tcPr>
          <w:p w14:paraId="31CA042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22C621B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570915B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479AA41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557A45F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2550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28F5FD0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22</w:t>
            </w:r>
          </w:p>
        </w:tc>
        <w:tc>
          <w:tcPr>
            <w:tcW w:w="517" w:type="pct"/>
            <w:tcBorders>
              <w:top w:val="nil"/>
              <w:left w:val="nil"/>
              <w:bottom w:val="nil"/>
              <w:right w:val="nil"/>
            </w:tcBorders>
            <w:shd w:val="clear" w:color="auto" w:fill="FFFFFF"/>
            <w:vAlign w:val="center"/>
          </w:tcPr>
          <w:p w14:paraId="79F75EC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Inadequate sleep</w:t>
            </w:r>
          </w:p>
        </w:tc>
        <w:tc>
          <w:tcPr>
            <w:tcW w:w="408" w:type="pct"/>
            <w:tcBorders>
              <w:top w:val="nil"/>
              <w:left w:val="nil"/>
              <w:bottom w:val="nil"/>
              <w:right w:val="nil"/>
            </w:tcBorders>
            <w:shd w:val="clear" w:color="auto" w:fill="FFFFFF"/>
            <w:vAlign w:val="center"/>
          </w:tcPr>
          <w:p w14:paraId="7D7F94B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SM1</w:t>
            </w:r>
          </w:p>
        </w:tc>
        <w:tc>
          <w:tcPr>
            <w:tcW w:w="1549" w:type="pct"/>
            <w:tcBorders>
              <w:top w:val="nil"/>
              <w:left w:val="nil"/>
              <w:bottom w:val="nil"/>
              <w:right w:val="nil"/>
            </w:tcBorders>
            <w:shd w:val="clear" w:color="auto" w:fill="FFFFFF"/>
            <w:vAlign w:val="center"/>
          </w:tcPr>
          <w:p w14:paraId="21DC3644">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usually do not get enough sleep.</w:t>
            </w:r>
          </w:p>
        </w:tc>
        <w:tc>
          <w:tcPr>
            <w:tcW w:w="363" w:type="pct"/>
            <w:tcBorders>
              <w:top w:val="nil"/>
              <w:left w:val="nil"/>
              <w:bottom w:val="nil"/>
              <w:right w:val="nil"/>
            </w:tcBorders>
            <w:shd w:val="clear" w:color="auto" w:fill="FFFFFF"/>
            <w:vAlign w:val="center"/>
          </w:tcPr>
          <w:p w14:paraId="0105339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1202A2B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119B67B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150D3BA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4E4D05D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64BF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08820ED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23</w:t>
            </w:r>
          </w:p>
        </w:tc>
        <w:tc>
          <w:tcPr>
            <w:tcW w:w="517" w:type="pct"/>
            <w:tcBorders>
              <w:top w:val="nil"/>
              <w:left w:val="nil"/>
              <w:bottom w:val="nil"/>
              <w:right w:val="nil"/>
            </w:tcBorders>
            <w:shd w:val="clear" w:color="auto" w:fill="FFFFFF"/>
            <w:vAlign w:val="center"/>
          </w:tcPr>
          <w:p w14:paraId="78417E5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Inadequate sleep</w:t>
            </w:r>
          </w:p>
        </w:tc>
        <w:tc>
          <w:tcPr>
            <w:tcW w:w="408" w:type="pct"/>
            <w:tcBorders>
              <w:top w:val="nil"/>
              <w:left w:val="nil"/>
              <w:bottom w:val="nil"/>
              <w:right w:val="nil"/>
            </w:tcBorders>
            <w:shd w:val="clear" w:color="auto" w:fill="FFFFFF"/>
            <w:vAlign w:val="center"/>
          </w:tcPr>
          <w:p w14:paraId="7AB18DE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SM2</w:t>
            </w:r>
          </w:p>
        </w:tc>
        <w:tc>
          <w:tcPr>
            <w:tcW w:w="1549" w:type="pct"/>
            <w:tcBorders>
              <w:top w:val="nil"/>
              <w:left w:val="nil"/>
              <w:bottom w:val="nil"/>
              <w:right w:val="nil"/>
            </w:tcBorders>
            <w:shd w:val="clear" w:color="auto" w:fill="FFFFFF"/>
            <w:vAlign w:val="center"/>
          </w:tcPr>
          <w:p w14:paraId="28963140">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often stay up late or go to bed late.</w:t>
            </w:r>
          </w:p>
        </w:tc>
        <w:tc>
          <w:tcPr>
            <w:tcW w:w="363" w:type="pct"/>
            <w:tcBorders>
              <w:top w:val="nil"/>
              <w:left w:val="nil"/>
              <w:bottom w:val="nil"/>
              <w:right w:val="nil"/>
            </w:tcBorders>
            <w:shd w:val="clear" w:color="auto" w:fill="FFFFFF"/>
            <w:vAlign w:val="center"/>
          </w:tcPr>
          <w:p w14:paraId="747FA9E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4D023D3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4A7F050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246B85A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2899B48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4156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02306F3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24</w:t>
            </w:r>
          </w:p>
        </w:tc>
        <w:tc>
          <w:tcPr>
            <w:tcW w:w="517" w:type="pct"/>
            <w:tcBorders>
              <w:top w:val="nil"/>
              <w:left w:val="nil"/>
              <w:bottom w:val="nil"/>
              <w:right w:val="nil"/>
            </w:tcBorders>
            <w:shd w:val="clear" w:color="auto" w:fill="FFFFFF"/>
            <w:vAlign w:val="center"/>
          </w:tcPr>
          <w:p w14:paraId="01ED23E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Inadequate sleep</w:t>
            </w:r>
          </w:p>
        </w:tc>
        <w:tc>
          <w:tcPr>
            <w:tcW w:w="408" w:type="pct"/>
            <w:tcBorders>
              <w:top w:val="nil"/>
              <w:left w:val="nil"/>
              <w:bottom w:val="nil"/>
              <w:right w:val="nil"/>
            </w:tcBorders>
            <w:shd w:val="clear" w:color="auto" w:fill="FFFFFF"/>
            <w:vAlign w:val="center"/>
          </w:tcPr>
          <w:p w14:paraId="0EEAC0A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SM3</w:t>
            </w:r>
          </w:p>
        </w:tc>
        <w:tc>
          <w:tcPr>
            <w:tcW w:w="1549" w:type="pct"/>
            <w:tcBorders>
              <w:top w:val="nil"/>
              <w:left w:val="nil"/>
              <w:bottom w:val="nil"/>
              <w:right w:val="nil"/>
            </w:tcBorders>
            <w:shd w:val="clear" w:color="auto" w:fill="FFFFFF"/>
            <w:vAlign w:val="center"/>
          </w:tcPr>
          <w:p w14:paraId="22C29C81">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After getting up in the morning, I often feel that I have not had enough sleep or feel tired.</w:t>
            </w:r>
          </w:p>
        </w:tc>
        <w:tc>
          <w:tcPr>
            <w:tcW w:w="363" w:type="pct"/>
            <w:tcBorders>
              <w:top w:val="nil"/>
              <w:left w:val="nil"/>
              <w:bottom w:val="nil"/>
              <w:right w:val="nil"/>
            </w:tcBorders>
            <w:shd w:val="clear" w:color="auto" w:fill="FFFFFF"/>
            <w:vAlign w:val="center"/>
          </w:tcPr>
          <w:p w14:paraId="5DA811A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5F97907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450E6E0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6417679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2369AA3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04F0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1D4CB41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25</w:t>
            </w:r>
          </w:p>
        </w:tc>
        <w:tc>
          <w:tcPr>
            <w:tcW w:w="517" w:type="pct"/>
            <w:tcBorders>
              <w:top w:val="nil"/>
              <w:left w:val="nil"/>
              <w:bottom w:val="nil"/>
              <w:right w:val="nil"/>
            </w:tcBorders>
            <w:shd w:val="clear" w:color="auto" w:fill="FFFFFF"/>
            <w:vAlign w:val="center"/>
          </w:tcPr>
          <w:p w14:paraId="4D08BA9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Poor reading and writing posture</w:t>
            </w:r>
          </w:p>
        </w:tc>
        <w:tc>
          <w:tcPr>
            <w:tcW w:w="408" w:type="pct"/>
            <w:tcBorders>
              <w:top w:val="nil"/>
              <w:left w:val="nil"/>
              <w:bottom w:val="nil"/>
              <w:right w:val="nil"/>
            </w:tcBorders>
            <w:shd w:val="clear" w:color="auto" w:fill="FFFFFF"/>
            <w:vAlign w:val="center"/>
          </w:tcPr>
          <w:p w14:paraId="705CA94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ZS1</w:t>
            </w:r>
          </w:p>
        </w:tc>
        <w:tc>
          <w:tcPr>
            <w:tcW w:w="1549" w:type="pct"/>
            <w:tcBorders>
              <w:top w:val="nil"/>
              <w:left w:val="nil"/>
              <w:bottom w:val="nil"/>
              <w:right w:val="nil"/>
            </w:tcBorders>
            <w:shd w:val="clear" w:color="auto" w:fill="FFFFFF"/>
            <w:vAlign w:val="center"/>
          </w:tcPr>
          <w:p w14:paraId="1C273CAC">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When reading or writing, I often lower my head too much or keep my eyes too close to the page.</w:t>
            </w:r>
          </w:p>
        </w:tc>
        <w:tc>
          <w:tcPr>
            <w:tcW w:w="363" w:type="pct"/>
            <w:tcBorders>
              <w:top w:val="nil"/>
              <w:left w:val="nil"/>
              <w:bottom w:val="nil"/>
              <w:right w:val="nil"/>
            </w:tcBorders>
            <w:shd w:val="clear" w:color="auto" w:fill="FFFFFF"/>
            <w:vAlign w:val="center"/>
          </w:tcPr>
          <w:p w14:paraId="2C714AA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31DEA2C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7CEB135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0CF765C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205DB52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7BC8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5BDE1DF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26</w:t>
            </w:r>
          </w:p>
        </w:tc>
        <w:tc>
          <w:tcPr>
            <w:tcW w:w="517" w:type="pct"/>
            <w:tcBorders>
              <w:top w:val="nil"/>
              <w:left w:val="nil"/>
              <w:bottom w:val="nil"/>
              <w:right w:val="nil"/>
            </w:tcBorders>
            <w:shd w:val="clear" w:color="auto" w:fill="FFFFFF"/>
            <w:vAlign w:val="center"/>
          </w:tcPr>
          <w:p w14:paraId="2F110DD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Poor reading and writing posture</w:t>
            </w:r>
          </w:p>
        </w:tc>
        <w:tc>
          <w:tcPr>
            <w:tcW w:w="408" w:type="pct"/>
            <w:tcBorders>
              <w:top w:val="nil"/>
              <w:left w:val="nil"/>
              <w:bottom w:val="nil"/>
              <w:right w:val="nil"/>
            </w:tcBorders>
            <w:shd w:val="clear" w:color="auto" w:fill="FFFFFF"/>
            <w:vAlign w:val="center"/>
          </w:tcPr>
          <w:p w14:paraId="1A70F3C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ZS2</w:t>
            </w:r>
          </w:p>
        </w:tc>
        <w:tc>
          <w:tcPr>
            <w:tcW w:w="1549" w:type="pct"/>
            <w:tcBorders>
              <w:top w:val="nil"/>
              <w:left w:val="nil"/>
              <w:bottom w:val="nil"/>
              <w:right w:val="nil"/>
            </w:tcBorders>
            <w:shd w:val="clear" w:color="auto" w:fill="FFFFFF"/>
            <w:vAlign w:val="center"/>
          </w:tcPr>
          <w:p w14:paraId="070AA39A">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When doing homework, my body is often tilted, or I often lie on the desk.</w:t>
            </w:r>
          </w:p>
        </w:tc>
        <w:tc>
          <w:tcPr>
            <w:tcW w:w="363" w:type="pct"/>
            <w:tcBorders>
              <w:top w:val="nil"/>
              <w:left w:val="nil"/>
              <w:bottom w:val="nil"/>
              <w:right w:val="nil"/>
            </w:tcBorders>
            <w:shd w:val="clear" w:color="auto" w:fill="FFFFFF"/>
            <w:vAlign w:val="center"/>
          </w:tcPr>
          <w:p w14:paraId="06DAB7B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309DD4A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34E11B1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3DAF4B8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7C833AB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4D1B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0479EC3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27</w:t>
            </w:r>
          </w:p>
        </w:tc>
        <w:tc>
          <w:tcPr>
            <w:tcW w:w="517" w:type="pct"/>
            <w:tcBorders>
              <w:top w:val="nil"/>
              <w:left w:val="nil"/>
              <w:bottom w:val="nil"/>
              <w:right w:val="nil"/>
            </w:tcBorders>
            <w:shd w:val="clear" w:color="auto" w:fill="FFFFFF"/>
            <w:vAlign w:val="center"/>
          </w:tcPr>
          <w:p w14:paraId="1581E4A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Poor reading and writing posture</w:t>
            </w:r>
          </w:p>
        </w:tc>
        <w:tc>
          <w:tcPr>
            <w:tcW w:w="408" w:type="pct"/>
            <w:tcBorders>
              <w:top w:val="nil"/>
              <w:left w:val="nil"/>
              <w:bottom w:val="nil"/>
              <w:right w:val="nil"/>
            </w:tcBorders>
            <w:shd w:val="clear" w:color="auto" w:fill="FFFFFF"/>
            <w:vAlign w:val="center"/>
          </w:tcPr>
          <w:p w14:paraId="4BC0F47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ZS3</w:t>
            </w:r>
          </w:p>
        </w:tc>
        <w:tc>
          <w:tcPr>
            <w:tcW w:w="1549" w:type="pct"/>
            <w:tcBorders>
              <w:top w:val="nil"/>
              <w:left w:val="nil"/>
              <w:bottom w:val="nil"/>
              <w:right w:val="nil"/>
            </w:tcBorders>
            <w:shd w:val="clear" w:color="auto" w:fill="FFFFFF"/>
            <w:vAlign w:val="center"/>
          </w:tcPr>
          <w:p w14:paraId="0451AD90">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When reading or writing, I rarely pay attention to keeping my head, neck, and back in an upright posture.</w:t>
            </w:r>
          </w:p>
        </w:tc>
        <w:tc>
          <w:tcPr>
            <w:tcW w:w="363" w:type="pct"/>
            <w:tcBorders>
              <w:top w:val="nil"/>
              <w:left w:val="nil"/>
              <w:bottom w:val="nil"/>
              <w:right w:val="nil"/>
            </w:tcBorders>
            <w:shd w:val="clear" w:color="auto" w:fill="FFFFFF"/>
            <w:vAlign w:val="center"/>
          </w:tcPr>
          <w:p w14:paraId="719D65C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1DE15E6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7A72C17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682E773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158B7E0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39F8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3DD2FD8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28</w:t>
            </w:r>
          </w:p>
        </w:tc>
        <w:tc>
          <w:tcPr>
            <w:tcW w:w="517" w:type="pct"/>
            <w:tcBorders>
              <w:top w:val="nil"/>
              <w:left w:val="nil"/>
              <w:bottom w:val="nil"/>
              <w:right w:val="nil"/>
            </w:tcBorders>
            <w:shd w:val="clear" w:color="auto" w:fill="FFFFFF"/>
            <w:vAlign w:val="center"/>
          </w:tcPr>
          <w:p w14:paraId="5DFC4E2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Poor desk-chair matching</w:t>
            </w:r>
          </w:p>
        </w:tc>
        <w:tc>
          <w:tcPr>
            <w:tcW w:w="408" w:type="pct"/>
            <w:tcBorders>
              <w:top w:val="nil"/>
              <w:left w:val="nil"/>
              <w:bottom w:val="nil"/>
              <w:right w:val="nil"/>
            </w:tcBorders>
            <w:shd w:val="clear" w:color="auto" w:fill="FFFFFF"/>
            <w:vAlign w:val="center"/>
          </w:tcPr>
          <w:p w14:paraId="40F4EC3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ZY1</w:t>
            </w:r>
          </w:p>
        </w:tc>
        <w:tc>
          <w:tcPr>
            <w:tcW w:w="1549" w:type="pct"/>
            <w:tcBorders>
              <w:top w:val="nil"/>
              <w:left w:val="nil"/>
              <w:bottom w:val="nil"/>
              <w:right w:val="nil"/>
            </w:tcBorders>
            <w:shd w:val="clear" w:color="auto" w:fill="FFFFFF"/>
            <w:vAlign w:val="center"/>
          </w:tcPr>
          <w:p w14:paraId="597F94DA">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I feel that the height of the desk or chair does not match my height well.</w:t>
            </w:r>
          </w:p>
        </w:tc>
        <w:tc>
          <w:tcPr>
            <w:tcW w:w="363" w:type="pct"/>
            <w:tcBorders>
              <w:top w:val="nil"/>
              <w:left w:val="nil"/>
              <w:bottom w:val="nil"/>
              <w:right w:val="nil"/>
            </w:tcBorders>
            <w:shd w:val="clear" w:color="auto" w:fill="FFFFFF"/>
            <w:vAlign w:val="center"/>
          </w:tcPr>
          <w:p w14:paraId="7847280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364EB55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494FBBD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1DD15EB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7F8FE77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5152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nil"/>
              <w:right w:val="nil"/>
            </w:tcBorders>
            <w:shd w:val="clear" w:color="auto" w:fill="FFFFFF"/>
            <w:vAlign w:val="center"/>
          </w:tcPr>
          <w:p w14:paraId="7936C2C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29</w:t>
            </w:r>
          </w:p>
        </w:tc>
        <w:tc>
          <w:tcPr>
            <w:tcW w:w="517" w:type="pct"/>
            <w:tcBorders>
              <w:top w:val="nil"/>
              <w:left w:val="nil"/>
              <w:bottom w:val="nil"/>
              <w:right w:val="nil"/>
            </w:tcBorders>
            <w:shd w:val="clear" w:color="auto" w:fill="FFFFFF"/>
            <w:vAlign w:val="center"/>
          </w:tcPr>
          <w:p w14:paraId="16A8861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Poor desk-chair matching</w:t>
            </w:r>
          </w:p>
        </w:tc>
        <w:tc>
          <w:tcPr>
            <w:tcW w:w="408" w:type="pct"/>
            <w:tcBorders>
              <w:top w:val="nil"/>
              <w:left w:val="nil"/>
              <w:bottom w:val="nil"/>
              <w:right w:val="nil"/>
            </w:tcBorders>
            <w:shd w:val="clear" w:color="auto" w:fill="FFFFFF"/>
            <w:vAlign w:val="center"/>
          </w:tcPr>
          <w:p w14:paraId="5B16BA1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ZY2</w:t>
            </w:r>
          </w:p>
        </w:tc>
        <w:tc>
          <w:tcPr>
            <w:tcW w:w="1549" w:type="pct"/>
            <w:tcBorders>
              <w:top w:val="nil"/>
              <w:left w:val="nil"/>
              <w:bottom w:val="nil"/>
              <w:right w:val="nil"/>
            </w:tcBorders>
            <w:shd w:val="clear" w:color="auto" w:fill="FFFFFF"/>
            <w:vAlign w:val="center"/>
          </w:tcPr>
          <w:p w14:paraId="1FEB3A84">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When studying at a desk and chair, I often feel that my posture is uncomfortable.</w:t>
            </w:r>
          </w:p>
        </w:tc>
        <w:tc>
          <w:tcPr>
            <w:tcW w:w="363" w:type="pct"/>
            <w:tcBorders>
              <w:top w:val="nil"/>
              <w:left w:val="nil"/>
              <w:bottom w:val="nil"/>
              <w:right w:val="nil"/>
            </w:tcBorders>
            <w:shd w:val="clear" w:color="auto" w:fill="FFFFFF"/>
            <w:vAlign w:val="center"/>
          </w:tcPr>
          <w:p w14:paraId="4A9B4F9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nil"/>
              <w:right w:val="nil"/>
            </w:tcBorders>
            <w:shd w:val="clear" w:color="auto" w:fill="FFFFFF"/>
            <w:vAlign w:val="center"/>
          </w:tcPr>
          <w:p w14:paraId="1229E3B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nil"/>
              <w:right w:val="nil"/>
            </w:tcBorders>
            <w:shd w:val="clear" w:color="auto" w:fill="FFFFFF"/>
            <w:vAlign w:val="center"/>
          </w:tcPr>
          <w:p w14:paraId="1DEE0E8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nil"/>
              <w:right w:val="nil"/>
            </w:tcBorders>
            <w:shd w:val="clear" w:color="auto" w:fill="FFFFFF"/>
            <w:vAlign w:val="center"/>
          </w:tcPr>
          <w:p w14:paraId="6319C4B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nil"/>
              <w:right w:val="nil"/>
            </w:tcBorders>
            <w:shd w:val="clear" w:color="auto" w:fill="FFFFFF"/>
            <w:vAlign w:val="center"/>
          </w:tcPr>
          <w:p w14:paraId="0F851F4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r w14:paraId="6EDF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 w:type="pct"/>
            <w:tcBorders>
              <w:top w:val="nil"/>
              <w:left w:val="nil"/>
              <w:bottom w:val="single" w:color="000000" w:sz="12" w:space="0"/>
              <w:right w:val="nil"/>
            </w:tcBorders>
            <w:shd w:val="clear" w:color="auto" w:fill="FFFFFF"/>
            <w:vAlign w:val="center"/>
          </w:tcPr>
          <w:p w14:paraId="1E25069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30</w:t>
            </w:r>
          </w:p>
        </w:tc>
        <w:tc>
          <w:tcPr>
            <w:tcW w:w="517" w:type="pct"/>
            <w:tcBorders>
              <w:top w:val="nil"/>
              <w:left w:val="nil"/>
              <w:bottom w:val="single" w:color="000000" w:sz="12" w:space="0"/>
              <w:right w:val="nil"/>
            </w:tcBorders>
            <w:shd w:val="clear" w:color="auto" w:fill="FFFFFF"/>
            <w:vAlign w:val="center"/>
          </w:tcPr>
          <w:p w14:paraId="08091C6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Poor desk-chair matching</w:t>
            </w:r>
          </w:p>
        </w:tc>
        <w:tc>
          <w:tcPr>
            <w:tcW w:w="408" w:type="pct"/>
            <w:tcBorders>
              <w:top w:val="nil"/>
              <w:left w:val="nil"/>
              <w:bottom w:val="single" w:color="000000" w:sz="12" w:space="0"/>
              <w:right w:val="nil"/>
            </w:tcBorders>
            <w:shd w:val="clear" w:color="auto" w:fill="FFFFFF"/>
            <w:vAlign w:val="center"/>
          </w:tcPr>
          <w:p w14:paraId="21CC145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ZY3</w:t>
            </w:r>
          </w:p>
        </w:tc>
        <w:tc>
          <w:tcPr>
            <w:tcW w:w="1549" w:type="pct"/>
            <w:tcBorders>
              <w:top w:val="nil"/>
              <w:left w:val="nil"/>
              <w:bottom w:val="single" w:color="000000" w:sz="12" w:space="0"/>
              <w:right w:val="nil"/>
            </w:tcBorders>
            <w:shd w:val="clear" w:color="auto" w:fill="FFFFFF"/>
            <w:vAlign w:val="center"/>
          </w:tcPr>
          <w:p w14:paraId="4A888BCE">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When studying, I often bend my waist, shrug my shoulders, or tilt my body because the desk and chair are not suitable.</w:t>
            </w:r>
          </w:p>
        </w:tc>
        <w:tc>
          <w:tcPr>
            <w:tcW w:w="363" w:type="pct"/>
            <w:tcBorders>
              <w:top w:val="nil"/>
              <w:left w:val="nil"/>
              <w:bottom w:val="single" w:color="000000" w:sz="12" w:space="0"/>
              <w:right w:val="nil"/>
            </w:tcBorders>
            <w:shd w:val="clear" w:color="auto" w:fill="FFFFFF"/>
            <w:vAlign w:val="center"/>
          </w:tcPr>
          <w:p w14:paraId="180CB6F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587" w:type="pct"/>
            <w:tcBorders>
              <w:top w:val="nil"/>
              <w:left w:val="nil"/>
              <w:bottom w:val="single" w:color="000000" w:sz="12" w:space="0"/>
              <w:right w:val="nil"/>
            </w:tcBorders>
            <w:shd w:val="clear" w:color="auto" w:fill="FFFFFF"/>
            <w:vAlign w:val="center"/>
          </w:tcPr>
          <w:p w14:paraId="1C60F65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97" w:type="pct"/>
            <w:tcBorders>
              <w:top w:val="nil"/>
              <w:left w:val="nil"/>
              <w:bottom w:val="single" w:color="000000" w:sz="12" w:space="0"/>
              <w:right w:val="nil"/>
            </w:tcBorders>
            <w:shd w:val="clear" w:color="auto" w:fill="FFFFFF"/>
            <w:vAlign w:val="center"/>
          </w:tcPr>
          <w:p w14:paraId="00B7298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03" w:type="pct"/>
            <w:tcBorders>
              <w:top w:val="nil"/>
              <w:left w:val="nil"/>
              <w:bottom w:val="single" w:color="000000" w:sz="12" w:space="0"/>
              <w:right w:val="nil"/>
            </w:tcBorders>
            <w:shd w:val="clear" w:color="auto" w:fill="FFFFFF"/>
            <w:vAlign w:val="center"/>
          </w:tcPr>
          <w:p w14:paraId="76C7D9C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c>
          <w:tcPr>
            <w:tcW w:w="435" w:type="pct"/>
            <w:tcBorders>
              <w:top w:val="nil"/>
              <w:left w:val="nil"/>
              <w:bottom w:val="single" w:color="000000" w:sz="12" w:space="0"/>
              <w:right w:val="nil"/>
            </w:tcBorders>
            <w:shd w:val="clear" w:color="auto" w:fill="FFFFFF"/>
            <w:vAlign w:val="center"/>
          </w:tcPr>
          <w:p w14:paraId="626146C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1"/>
                <w:szCs w:val="21"/>
              </w:rPr>
            </w:pPr>
            <w:r>
              <w:rPr>
                <w:rFonts w:hint="default" w:ascii="Times New Roman" w:hAnsi="Times New Roman" w:eastAsia="微软雅黑" w:cs="Times New Roman"/>
                <w:b w:val="0"/>
                <w:color w:val="000000"/>
                <w:sz w:val="21"/>
                <w:szCs w:val="21"/>
              </w:rPr>
              <w:t>□</w:t>
            </w:r>
          </w:p>
        </w:tc>
      </w:tr>
    </w:tbl>
    <w:p w14:paraId="7254408D">
      <w:pPr>
        <w:pStyle w:val="3"/>
        <w:pageBreakBefore w:val="0"/>
        <w:widowControl/>
        <w:numPr>
          <w:ilvl w:val="0"/>
          <w:numId w:val="8"/>
        </w:numPr>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Dimension Scores and Total Score Calculation</w:t>
      </w:r>
    </w:p>
    <w:tbl>
      <w:tblPr>
        <w:tblStyle w:val="32"/>
        <w:tblW w:w="10656" w:type="dxa"/>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108" w:type="dxa"/>
          <w:bottom w:w="0" w:type="dxa"/>
          <w:right w:w="108" w:type="dxa"/>
        </w:tblCellMar>
      </w:tblPr>
      <w:tblGrid>
        <w:gridCol w:w="4031"/>
        <w:gridCol w:w="2015"/>
        <w:gridCol w:w="3168"/>
        <w:gridCol w:w="1440"/>
      </w:tblGrid>
      <w:tr w14:paraId="27D3027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single" w:color="000000" w:sz="12" w:space="0"/>
              <w:left w:val="nil"/>
              <w:bottom w:val="single" w:color="000000" w:sz="4" w:space="0"/>
              <w:right w:val="nil"/>
              <w:tl2br w:val="nil"/>
            </w:tcBorders>
            <w:shd w:val="clear" w:color="auto" w:fill="FFFFFF"/>
            <w:vAlign w:val="center"/>
          </w:tcPr>
          <w:p w14:paraId="24AF641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Dimension</w:t>
            </w:r>
          </w:p>
        </w:tc>
        <w:tc>
          <w:tcPr>
            <w:tcW w:w="2015" w:type="dxa"/>
            <w:tcBorders>
              <w:top w:val="single" w:color="000000" w:sz="12" w:space="0"/>
              <w:left w:val="nil"/>
              <w:bottom w:val="single" w:color="000000" w:sz="4" w:space="0"/>
              <w:right w:val="nil"/>
            </w:tcBorders>
            <w:shd w:val="clear" w:color="auto" w:fill="FFFFFF"/>
            <w:vAlign w:val="center"/>
          </w:tcPr>
          <w:p w14:paraId="5E17F2BB">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Variables</w:t>
            </w:r>
          </w:p>
        </w:tc>
        <w:tc>
          <w:tcPr>
            <w:tcW w:w="3168" w:type="dxa"/>
            <w:tcBorders>
              <w:top w:val="single" w:color="000000" w:sz="12" w:space="0"/>
              <w:left w:val="nil"/>
              <w:bottom w:val="single" w:color="000000" w:sz="4" w:space="0"/>
              <w:right w:val="nil"/>
            </w:tcBorders>
            <w:shd w:val="clear" w:color="auto" w:fill="FFFFFF"/>
            <w:vAlign w:val="center"/>
          </w:tcPr>
          <w:p w14:paraId="537249B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Calculation method</w:t>
            </w:r>
          </w:p>
        </w:tc>
        <w:tc>
          <w:tcPr>
            <w:tcW w:w="1440" w:type="dxa"/>
            <w:tcBorders>
              <w:top w:val="single" w:color="000000" w:sz="12" w:space="0"/>
              <w:left w:val="nil"/>
              <w:bottom w:val="single" w:color="000000" w:sz="4" w:space="0"/>
              <w:right w:val="nil"/>
            </w:tcBorders>
            <w:shd w:val="clear" w:color="auto" w:fill="FFFFFF"/>
            <w:vAlign w:val="center"/>
          </w:tcPr>
          <w:p w14:paraId="4B0893A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Score range</w:t>
            </w:r>
          </w:p>
        </w:tc>
      </w:tr>
      <w:tr w14:paraId="60B27A9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single" w:color="000000" w:sz="4" w:space="0"/>
              <w:left w:val="nil"/>
              <w:bottom w:val="nil"/>
              <w:right w:val="nil"/>
            </w:tcBorders>
            <w:shd w:val="clear" w:color="auto" w:fill="FFFFFF"/>
            <w:vAlign w:val="center"/>
          </w:tcPr>
          <w:p w14:paraId="185228E6">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Sedentary behavior score</w:t>
            </w:r>
          </w:p>
        </w:tc>
        <w:tc>
          <w:tcPr>
            <w:tcW w:w="2015" w:type="dxa"/>
            <w:tcBorders>
              <w:top w:val="single" w:color="000000" w:sz="4" w:space="0"/>
              <w:left w:val="nil"/>
              <w:bottom w:val="nil"/>
              <w:right w:val="nil"/>
            </w:tcBorders>
            <w:shd w:val="clear" w:color="auto" w:fill="FFFFFF"/>
            <w:vAlign w:val="center"/>
          </w:tcPr>
          <w:p w14:paraId="78785F24">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LT1–LT3</w:t>
            </w:r>
          </w:p>
        </w:tc>
        <w:tc>
          <w:tcPr>
            <w:tcW w:w="3168" w:type="dxa"/>
            <w:tcBorders>
              <w:top w:val="single" w:color="000000" w:sz="4" w:space="0"/>
              <w:left w:val="nil"/>
              <w:bottom w:val="nil"/>
              <w:right w:val="nil"/>
            </w:tcBorders>
            <w:shd w:val="clear" w:color="auto" w:fill="FFFFFF"/>
            <w:vAlign w:val="center"/>
          </w:tcPr>
          <w:p w14:paraId="7162411B">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LT1 + LT2 + LT3</w:t>
            </w:r>
          </w:p>
        </w:tc>
        <w:tc>
          <w:tcPr>
            <w:tcW w:w="1440" w:type="dxa"/>
            <w:tcBorders>
              <w:top w:val="single" w:color="000000" w:sz="4" w:space="0"/>
              <w:left w:val="nil"/>
              <w:bottom w:val="nil"/>
              <w:right w:val="nil"/>
            </w:tcBorders>
            <w:shd w:val="clear" w:color="auto" w:fill="FFFFFF"/>
            <w:vAlign w:val="center"/>
          </w:tcPr>
          <w:p w14:paraId="528596D0">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3–15</w:t>
            </w:r>
          </w:p>
        </w:tc>
      </w:tr>
      <w:tr w14:paraId="7C8734B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nil"/>
              <w:left w:val="nil"/>
              <w:bottom w:val="nil"/>
              <w:right w:val="nil"/>
            </w:tcBorders>
            <w:shd w:val="clear" w:color="auto" w:fill="FFFFFF"/>
            <w:vAlign w:val="center"/>
          </w:tcPr>
          <w:p w14:paraId="2DC469D2">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Unilateral force-dominant exercise score</w:t>
            </w:r>
          </w:p>
        </w:tc>
        <w:tc>
          <w:tcPr>
            <w:tcW w:w="2015" w:type="dxa"/>
            <w:tcBorders>
              <w:top w:val="nil"/>
              <w:left w:val="nil"/>
              <w:bottom w:val="nil"/>
              <w:right w:val="nil"/>
            </w:tcBorders>
            <w:shd w:val="clear" w:color="auto" w:fill="FFFFFF"/>
            <w:vAlign w:val="center"/>
          </w:tcPr>
          <w:p w14:paraId="0E74F4BE">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DF1–DF3</w:t>
            </w:r>
          </w:p>
        </w:tc>
        <w:tc>
          <w:tcPr>
            <w:tcW w:w="3168" w:type="dxa"/>
            <w:tcBorders>
              <w:top w:val="nil"/>
              <w:left w:val="nil"/>
              <w:bottom w:val="nil"/>
              <w:right w:val="nil"/>
            </w:tcBorders>
            <w:shd w:val="clear" w:color="auto" w:fill="FFFFFF"/>
            <w:vAlign w:val="center"/>
          </w:tcPr>
          <w:p w14:paraId="34BA3902">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DF1 + DF2 + DF3</w:t>
            </w:r>
          </w:p>
        </w:tc>
        <w:tc>
          <w:tcPr>
            <w:tcW w:w="1440" w:type="dxa"/>
            <w:tcBorders>
              <w:top w:val="nil"/>
              <w:left w:val="nil"/>
              <w:bottom w:val="nil"/>
              <w:right w:val="nil"/>
            </w:tcBorders>
            <w:shd w:val="clear" w:color="auto" w:fill="FFFFFF"/>
            <w:vAlign w:val="center"/>
          </w:tcPr>
          <w:p w14:paraId="63FEC6D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3–15</w:t>
            </w:r>
          </w:p>
        </w:tc>
      </w:tr>
      <w:tr w14:paraId="32B4A3A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nil"/>
              <w:left w:val="nil"/>
              <w:bottom w:val="nil"/>
              <w:right w:val="nil"/>
            </w:tcBorders>
            <w:shd w:val="clear" w:color="auto" w:fill="FFFFFF"/>
            <w:vAlign w:val="center"/>
          </w:tcPr>
          <w:p w14:paraId="0E92DDD5">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Insufficient physical activity score</w:t>
            </w:r>
          </w:p>
        </w:tc>
        <w:tc>
          <w:tcPr>
            <w:tcW w:w="2015" w:type="dxa"/>
            <w:tcBorders>
              <w:top w:val="nil"/>
              <w:left w:val="nil"/>
              <w:bottom w:val="nil"/>
              <w:right w:val="nil"/>
            </w:tcBorders>
            <w:shd w:val="clear" w:color="auto" w:fill="FFFFFF"/>
            <w:vAlign w:val="center"/>
          </w:tcPr>
          <w:p w14:paraId="3658B99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YD1–YD3</w:t>
            </w:r>
          </w:p>
        </w:tc>
        <w:tc>
          <w:tcPr>
            <w:tcW w:w="3168" w:type="dxa"/>
            <w:tcBorders>
              <w:top w:val="nil"/>
              <w:left w:val="nil"/>
              <w:bottom w:val="nil"/>
              <w:right w:val="nil"/>
            </w:tcBorders>
            <w:shd w:val="clear" w:color="auto" w:fill="FFFFFF"/>
            <w:vAlign w:val="center"/>
          </w:tcPr>
          <w:p w14:paraId="3FED2654">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YD1 + YD2 + YD3</w:t>
            </w:r>
          </w:p>
        </w:tc>
        <w:tc>
          <w:tcPr>
            <w:tcW w:w="1440" w:type="dxa"/>
            <w:tcBorders>
              <w:top w:val="nil"/>
              <w:left w:val="nil"/>
              <w:bottom w:val="nil"/>
              <w:right w:val="nil"/>
            </w:tcBorders>
            <w:shd w:val="clear" w:color="auto" w:fill="FFFFFF"/>
            <w:vAlign w:val="center"/>
          </w:tcPr>
          <w:p w14:paraId="14BDDEA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3–15</w:t>
            </w:r>
          </w:p>
        </w:tc>
      </w:tr>
      <w:tr w14:paraId="524459D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nil"/>
              <w:left w:val="nil"/>
              <w:bottom w:val="nil"/>
              <w:right w:val="nil"/>
            </w:tcBorders>
            <w:shd w:val="clear" w:color="auto" w:fill="FFFFFF"/>
            <w:vAlign w:val="center"/>
          </w:tcPr>
          <w:p w14:paraId="799BCC89">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Insufficient outdoor activity score</w:t>
            </w:r>
          </w:p>
        </w:tc>
        <w:tc>
          <w:tcPr>
            <w:tcW w:w="2015" w:type="dxa"/>
            <w:tcBorders>
              <w:top w:val="nil"/>
              <w:left w:val="nil"/>
              <w:bottom w:val="nil"/>
              <w:right w:val="nil"/>
            </w:tcBorders>
            <w:shd w:val="clear" w:color="auto" w:fill="FFFFFF"/>
            <w:vAlign w:val="center"/>
          </w:tcPr>
          <w:p w14:paraId="2B207C4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HW1–HW3</w:t>
            </w:r>
          </w:p>
        </w:tc>
        <w:tc>
          <w:tcPr>
            <w:tcW w:w="3168" w:type="dxa"/>
            <w:tcBorders>
              <w:top w:val="nil"/>
              <w:left w:val="nil"/>
              <w:bottom w:val="nil"/>
              <w:right w:val="nil"/>
            </w:tcBorders>
            <w:shd w:val="clear" w:color="auto" w:fill="FFFFFF"/>
            <w:vAlign w:val="center"/>
          </w:tcPr>
          <w:p w14:paraId="724233E0">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HW1 + HW2 + HW3</w:t>
            </w:r>
          </w:p>
        </w:tc>
        <w:tc>
          <w:tcPr>
            <w:tcW w:w="1440" w:type="dxa"/>
            <w:tcBorders>
              <w:top w:val="nil"/>
              <w:left w:val="nil"/>
              <w:bottom w:val="nil"/>
              <w:right w:val="nil"/>
            </w:tcBorders>
            <w:shd w:val="clear" w:color="auto" w:fill="FFFFFF"/>
            <w:vAlign w:val="center"/>
          </w:tcPr>
          <w:p w14:paraId="1C89CCC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3–15</w:t>
            </w:r>
          </w:p>
        </w:tc>
      </w:tr>
      <w:tr w14:paraId="72B0210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nil"/>
              <w:left w:val="nil"/>
              <w:bottom w:val="nil"/>
              <w:right w:val="nil"/>
            </w:tcBorders>
            <w:shd w:val="clear" w:color="auto" w:fill="FFFFFF"/>
            <w:vAlign w:val="center"/>
          </w:tcPr>
          <w:p w14:paraId="3AE14470">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Screen use score</w:t>
            </w:r>
          </w:p>
        </w:tc>
        <w:tc>
          <w:tcPr>
            <w:tcW w:w="2015" w:type="dxa"/>
            <w:tcBorders>
              <w:top w:val="nil"/>
              <w:left w:val="nil"/>
              <w:bottom w:val="nil"/>
              <w:right w:val="nil"/>
            </w:tcBorders>
            <w:shd w:val="clear" w:color="auto" w:fill="FFFFFF"/>
            <w:vAlign w:val="center"/>
          </w:tcPr>
          <w:p w14:paraId="3E10936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PM1–PM3</w:t>
            </w:r>
          </w:p>
        </w:tc>
        <w:tc>
          <w:tcPr>
            <w:tcW w:w="3168" w:type="dxa"/>
            <w:tcBorders>
              <w:top w:val="nil"/>
              <w:left w:val="nil"/>
              <w:bottom w:val="nil"/>
              <w:right w:val="nil"/>
            </w:tcBorders>
            <w:shd w:val="clear" w:color="auto" w:fill="FFFFFF"/>
            <w:vAlign w:val="center"/>
          </w:tcPr>
          <w:p w14:paraId="290375B4">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PM1 + PM2 + PM3</w:t>
            </w:r>
          </w:p>
        </w:tc>
        <w:tc>
          <w:tcPr>
            <w:tcW w:w="1440" w:type="dxa"/>
            <w:tcBorders>
              <w:top w:val="nil"/>
              <w:left w:val="nil"/>
              <w:bottom w:val="nil"/>
              <w:right w:val="nil"/>
            </w:tcBorders>
            <w:shd w:val="clear" w:color="auto" w:fill="FFFFFF"/>
            <w:vAlign w:val="center"/>
          </w:tcPr>
          <w:p w14:paraId="5802FC71">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3–15</w:t>
            </w:r>
          </w:p>
        </w:tc>
      </w:tr>
      <w:tr w14:paraId="56A75AD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nil"/>
              <w:left w:val="nil"/>
              <w:bottom w:val="nil"/>
              <w:right w:val="nil"/>
            </w:tcBorders>
            <w:shd w:val="clear" w:color="auto" w:fill="FFFFFF"/>
            <w:vAlign w:val="center"/>
          </w:tcPr>
          <w:p w14:paraId="228B7EC0">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Schoolbag burden score</w:t>
            </w:r>
          </w:p>
        </w:tc>
        <w:tc>
          <w:tcPr>
            <w:tcW w:w="2015" w:type="dxa"/>
            <w:tcBorders>
              <w:top w:val="nil"/>
              <w:left w:val="nil"/>
              <w:bottom w:val="nil"/>
              <w:right w:val="nil"/>
            </w:tcBorders>
            <w:shd w:val="clear" w:color="auto" w:fill="FFFFFF"/>
            <w:vAlign w:val="center"/>
          </w:tcPr>
          <w:p w14:paraId="69D2D9C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SB1–SB3</w:t>
            </w:r>
          </w:p>
        </w:tc>
        <w:tc>
          <w:tcPr>
            <w:tcW w:w="3168" w:type="dxa"/>
            <w:tcBorders>
              <w:top w:val="nil"/>
              <w:left w:val="nil"/>
              <w:bottom w:val="nil"/>
              <w:right w:val="nil"/>
            </w:tcBorders>
            <w:shd w:val="clear" w:color="auto" w:fill="FFFFFF"/>
            <w:vAlign w:val="center"/>
          </w:tcPr>
          <w:p w14:paraId="3F2A9C4A">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SB1 + SB2 + SB3</w:t>
            </w:r>
          </w:p>
        </w:tc>
        <w:tc>
          <w:tcPr>
            <w:tcW w:w="1440" w:type="dxa"/>
            <w:tcBorders>
              <w:top w:val="nil"/>
              <w:left w:val="nil"/>
              <w:bottom w:val="nil"/>
              <w:right w:val="nil"/>
            </w:tcBorders>
            <w:shd w:val="clear" w:color="auto" w:fill="FFFFFF"/>
            <w:vAlign w:val="center"/>
          </w:tcPr>
          <w:p w14:paraId="4C088E0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3–15</w:t>
            </w:r>
          </w:p>
        </w:tc>
      </w:tr>
      <w:tr w14:paraId="7C9DE99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nil"/>
              <w:left w:val="nil"/>
              <w:bottom w:val="nil"/>
              <w:right w:val="nil"/>
            </w:tcBorders>
            <w:shd w:val="clear" w:color="auto" w:fill="FFFFFF"/>
            <w:vAlign w:val="center"/>
          </w:tcPr>
          <w:p w14:paraId="1BB87FC3">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Insufficient dairy product intake score</w:t>
            </w:r>
          </w:p>
        </w:tc>
        <w:tc>
          <w:tcPr>
            <w:tcW w:w="2015" w:type="dxa"/>
            <w:tcBorders>
              <w:top w:val="nil"/>
              <w:left w:val="nil"/>
              <w:bottom w:val="nil"/>
              <w:right w:val="nil"/>
            </w:tcBorders>
            <w:shd w:val="clear" w:color="auto" w:fill="FFFFFF"/>
            <w:vAlign w:val="center"/>
          </w:tcPr>
          <w:p w14:paraId="6BB8A13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NY1–NY3</w:t>
            </w:r>
          </w:p>
        </w:tc>
        <w:tc>
          <w:tcPr>
            <w:tcW w:w="3168" w:type="dxa"/>
            <w:tcBorders>
              <w:top w:val="nil"/>
              <w:left w:val="nil"/>
              <w:bottom w:val="nil"/>
              <w:right w:val="nil"/>
            </w:tcBorders>
            <w:shd w:val="clear" w:color="auto" w:fill="FFFFFF"/>
            <w:vAlign w:val="center"/>
          </w:tcPr>
          <w:p w14:paraId="5254A221">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NY1 + NY2 + NY3</w:t>
            </w:r>
          </w:p>
        </w:tc>
        <w:tc>
          <w:tcPr>
            <w:tcW w:w="1440" w:type="dxa"/>
            <w:tcBorders>
              <w:top w:val="nil"/>
              <w:left w:val="nil"/>
              <w:bottom w:val="nil"/>
              <w:right w:val="nil"/>
            </w:tcBorders>
            <w:shd w:val="clear" w:color="auto" w:fill="FFFFFF"/>
            <w:vAlign w:val="center"/>
          </w:tcPr>
          <w:p w14:paraId="5E304E8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3–15</w:t>
            </w:r>
          </w:p>
        </w:tc>
      </w:tr>
      <w:tr w14:paraId="63DB517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nil"/>
              <w:left w:val="nil"/>
              <w:bottom w:val="nil"/>
              <w:right w:val="nil"/>
            </w:tcBorders>
            <w:shd w:val="clear" w:color="auto" w:fill="FFFFFF"/>
            <w:vAlign w:val="center"/>
          </w:tcPr>
          <w:p w14:paraId="1E90FB74">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Inadequate sleep score</w:t>
            </w:r>
          </w:p>
        </w:tc>
        <w:tc>
          <w:tcPr>
            <w:tcW w:w="2015" w:type="dxa"/>
            <w:tcBorders>
              <w:top w:val="nil"/>
              <w:left w:val="nil"/>
              <w:bottom w:val="nil"/>
              <w:right w:val="nil"/>
            </w:tcBorders>
            <w:shd w:val="clear" w:color="auto" w:fill="FFFFFF"/>
            <w:vAlign w:val="center"/>
          </w:tcPr>
          <w:p w14:paraId="0BFB01C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SM1–SM3</w:t>
            </w:r>
          </w:p>
        </w:tc>
        <w:tc>
          <w:tcPr>
            <w:tcW w:w="3168" w:type="dxa"/>
            <w:tcBorders>
              <w:top w:val="nil"/>
              <w:left w:val="nil"/>
              <w:bottom w:val="nil"/>
              <w:right w:val="nil"/>
            </w:tcBorders>
            <w:shd w:val="clear" w:color="auto" w:fill="FFFFFF"/>
            <w:vAlign w:val="center"/>
          </w:tcPr>
          <w:p w14:paraId="13EAFD08">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SM1 + SM2 + SM3</w:t>
            </w:r>
          </w:p>
        </w:tc>
        <w:tc>
          <w:tcPr>
            <w:tcW w:w="1440" w:type="dxa"/>
            <w:tcBorders>
              <w:top w:val="nil"/>
              <w:left w:val="nil"/>
              <w:bottom w:val="nil"/>
              <w:right w:val="nil"/>
            </w:tcBorders>
            <w:shd w:val="clear" w:color="auto" w:fill="FFFFFF"/>
            <w:vAlign w:val="center"/>
          </w:tcPr>
          <w:p w14:paraId="065EE877">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3–15</w:t>
            </w:r>
          </w:p>
        </w:tc>
      </w:tr>
      <w:tr w14:paraId="3AA842E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nil"/>
              <w:left w:val="nil"/>
              <w:bottom w:val="nil"/>
              <w:right w:val="nil"/>
            </w:tcBorders>
            <w:shd w:val="clear" w:color="auto" w:fill="FFFFFF"/>
            <w:vAlign w:val="center"/>
          </w:tcPr>
          <w:p w14:paraId="46F3E75F">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Poor reading and writing posture score</w:t>
            </w:r>
          </w:p>
        </w:tc>
        <w:tc>
          <w:tcPr>
            <w:tcW w:w="2015" w:type="dxa"/>
            <w:tcBorders>
              <w:top w:val="nil"/>
              <w:left w:val="nil"/>
              <w:bottom w:val="nil"/>
              <w:right w:val="nil"/>
            </w:tcBorders>
            <w:shd w:val="clear" w:color="auto" w:fill="FFFFFF"/>
            <w:vAlign w:val="center"/>
          </w:tcPr>
          <w:p w14:paraId="5A6B6AA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ZS1–ZS3</w:t>
            </w:r>
          </w:p>
        </w:tc>
        <w:tc>
          <w:tcPr>
            <w:tcW w:w="3168" w:type="dxa"/>
            <w:tcBorders>
              <w:top w:val="nil"/>
              <w:left w:val="nil"/>
              <w:bottom w:val="nil"/>
              <w:right w:val="nil"/>
            </w:tcBorders>
            <w:shd w:val="clear" w:color="auto" w:fill="FFFFFF"/>
            <w:vAlign w:val="center"/>
          </w:tcPr>
          <w:p w14:paraId="57E4BBFD">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ZS1 + ZS2 + ZS3</w:t>
            </w:r>
          </w:p>
        </w:tc>
        <w:tc>
          <w:tcPr>
            <w:tcW w:w="1440" w:type="dxa"/>
            <w:tcBorders>
              <w:top w:val="nil"/>
              <w:left w:val="nil"/>
              <w:bottom w:val="nil"/>
              <w:right w:val="nil"/>
            </w:tcBorders>
            <w:shd w:val="clear" w:color="auto" w:fill="FFFFFF"/>
            <w:vAlign w:val="center"/>
          </w:tcPr>
          <w:p w14:paraId="0D1C3CD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3–15</w:t>
            </w:r>
          </w:p>
        </w:tc>
      </w:tr>
      <w:tr w14:paraId="4CBDB50E">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nil"/>
              <w:left w:val="nil"/>
              <w:bottom w:val="nil"/>
              <w:right w:val="nil"/>
            </w:tcBorders>
            <w:shd w:val="clear" w:color="auto" w:fill="FFFFFF"/>
            <w:vAlign w:val="center"/>
          </w:tcPr>
          <w:p w14:paraId="74891AC6">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Poor desk-chair matching score</w:t>
            </w:r>
          </w:p>
        </w:tc>
        <w:tc>
          <w:tcPr>
            <w:tcW w:w="2015" w:type="dxa"/>
            <w:tcBorders>
              <w:top w:val="nil"/>
              <w:left w:val="nil"/>
              <w:bottom w:val="nil"/>
              <w:right w:val="nil"/>
            </w:tcBorders>
            <w:shd w:val="clear" w:color="auto" w:fill="FFFFFF"/>
            <w:vAlign w:val="center"/>
          </w:tcPr>
          <w:p w14:paraId="12CF176A">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ZY1–ZY3</w:t>
            </w:r>
          </w:p>
        </w:tc>
        <w:tc>
          <w:tcPr>
            <w:tcW w:w="3168" w:type="dxa"/>
            <w:tcBorders>
              <w:top w:val="nil"/>
              <w:left w:val="nil"/>
              <w:bottom w:val="nil"/>
              <w:right w:val="nil"/>
            </w:tcBorders>
            <w:shd w:val="clear" w:color="auto" w:fill="FFFFFF"/>
            <w:vAlign w:val="center"/>
          </w:tcPr>
          <w:p w14:paraId="03325A15">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ZY1 + ZY2 + ZY3</w:t>
            </w:r>
          </w:p>
        </w:tc>
        <w:tc>
          <w:tcPr>
            <w:tcW w:w="1440" w:type="dxa"/>
            <w:tcBorders>
              <w:top w:val="nil"/>
              <w:left w:val="nil"/>
              <w:bottom w:val="nil"/>
              <w:right w:val="nil"/>
            </w:tcBorders>
            <w:shd w:val="clear" w:color="auto" w:fill="FFFFFF"/>
            <w:vAlign w:val="center"/>
          </w:tcPr>
          <w:p w14:paraId="044E76C6">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3–15</w:t>
            </w:r>
          </w:p>
        </w:tc>
      </w:tr>
      <w:tr w14:paraId="615EA1A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4031" w:type="dxa"/>
            <w:tcBorders>
              <w:top w:val="nil"/>
              <w:left w:val="nil"/>
              <w:bottom w:val="single" w:color="000000" w:sz="12" w:space="0"/>
              <w:right w:val="nil"/>
            </w:tcBorders>
            <w:shd w:val="clear" w:color="auto" w:fill="FFFFFF"/>
            <w:vAlign w:val="center"/>
          </w:tcPr>
          <w:p w14:paraId="3474442D">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Total lifestyle exposure score</w:t>
            </w:r>
          </w:p>
        </w:tc>
        <w:tc>
          <w:tcPr>
            <w:tcW w:w="2015" w:type="dxa"/>
            <w:tcBorders>
              <w:top w:val="nil"/>
              <w:left w:val="nil"/>
              <w:bottom w:val="single" w:color="000000" w:sz="12" w:space="0"/>
              <w:right w:val="nil"/>
            </w:tcBorders>
            <w:shd w:val="clear" w:color="auto" w:fill="FFFFFF"/>
            <w:vAlign w:val="center"/>
          </w:tcPr>
          <w:p w14:paraId="04D753C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All items</w:t>
            </w:r>
          </w:p>
        </w:tc>
        <w:tc>
          <w:tcPr>
            <w:tcW w:w="3168" w:type="dxa"/>
            <w:tcBorders>
              <w:top w:val="nil"/>
              <w:left w:val="nil"/>
              <w:bottom w:val="single" w:color="000000" w:sz="12" w:space="0"/>
              <w:right w:val="nil"/>
            </w:tcBorders>
            <w:shd w:val="clear" w:color="auto" w:fill="FFFFFF"/>
            <w:vAlign w:val="center"/>
          </w:tcPr>
          <w:p w14:paraId="4EABD9A0">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Sum of all dimension scores</w:t>
            </w:r>
          </w:p>
        </w:tc>
        <w:tc>
          <w:tcPr>
            <w:tcW w:w="1440" w:type="dxa"/>
            <w:tcBorders>
              <w:top w:val="nil"/>
              <w:left w:val="nil"/>
              <w:bottom w:val="single" w:color="000000" w:sz="12" w:space="0"/>
              <w:right w:val="nil"/>
            </w:tcBorders>
            <w:shd w:val="clear" w:color="auto" w:fill="FFFFFF"/>
            <w:vAlign w:val="center"/>
          </w:tcPr>
          <w:p w14:paraId="68499465">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30–150</w:t>
            </w:r>
          </w:p>
        </w:tc>
      </w:tr>
    </w:tbl>
    <w:p w14:paraId="69AB7EC9">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The total lifestyle exposure score is calculated as the sum of all dimension scores. With 10 dimensions and 30 items scored from 1 to 5 points each, the theoretical total score ranges from 30 to 150. Higher scores indicate greater exposure to lifestyle-related behavioral risk factors.</w:t>
      </w:r>
    </w:p>
    <w:p w14:paraId="49A5EDD6">
      <w:pPr>
        <w:pStyle w:val="3"/>
        <w:pageBreakBefore w:val="0"/>
        <w:widowControl/>
        <w:numPr>
          <w:ilvl w:val="0"/>
          <w:numId w:val="8"/>
        </w:numPr>
        <w:kinsoku/>
        <w:wordWrap/>
        <w:overflowPunct/>
        <w:topLinePunct w:val="0"/>
        <w:autoSpaceDE/>
        <w:autoSpaceDN/>
        <w:bidi w:val="0"/>
        <w:adjustRightInd/>
        <w:snapToGrid/>
        <w:spacing w:before="0" w:after="0" w:line="480" w:lineRule="auto"/>
        <w:ind w:left="0" w:leftChars="0" w:firstLine="0" w:firstLineChars="0"/>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 xml:space="preserve"> Recom</w:t>
      </w:r>
      <w:bookmarkStart w:id="0" w:name="_GoBack"/>
      <w:bookmarkEnd w:id="0"/>
      <w:r>
        <w:rPr>
          <w:rFonts w:hint="default" w:ascii="Times New Roman" w:hAnsi="Times New Roman" w:eastAsia="微软雅黑" w:cs="Times New Roman"/>
          <w:color w:val="auto"/>
          <w:sz w:val="24"/>
          <w:szCs w:val="24"/>
        </w:rPr>
        <w:t>mended Risk Level Classification</w:t>
      </w:r>
    </w:p>
    <w:p w14:paraId="02BE9AF4">
      <w:pPr>
        <w:keepNext w:val="0"/>
        <w:keepLines w:val="0"/>
        <w:pageBreakBefore w:val="0"/>
        <w:widowControl/>
        <w:kinsoku/>
        <w:wordWrap/>
        <w:overflowPunct/>
        <w:topLinePunct w:val="0"/>
        <w:autoSpaceDE/>
        <w:autoSpaceDN/>
        <w:bidi w:val="0"/>
        <w:adjustRightInd/>
        <w:snapToGrid/>
        <w:spacing w:after="0" w:line="480" w:lineRule="auto"/>
        <w:ind w:firstLine="480" w:firstLineChars="200"/>
        <w:jc w:val="both"/>
        <w:textAlignment w:val="auto"/>
        <w:rPr>
          <w:rFonts w:hint="default" w:ascii="Times New Roman" w:hAnsi="Times New Roman" w:eastAsia="微软雅黑" w:cs="Times New Roman"/>
          <w:color w:val="auto"/>
          <w:sz w:val="24"/>
          <w:szCs w:val="24"/>
        </w:rPr>
      </w:pPr>
      <w:r>
        <w:rPr>
          <w:rFonts w:hint="default" w:ascii="Times New Roman" w:hAnsi="Times New Roman" w:eastAsia="微软雅黑" w:cs="Times New Roman"/>
          <w:color w:val="auto"/>
          <w:sz w:val="24"/>
          <w:szCs w:val="24"/>
        </w:rPr>
        <w:t>In this study, fixed cut-off values of the total score were used to classify risk levels: a total score &lt;70 was classified as low risk, 70–89 as moderate risk, and ≥90 as high risk. These categories are used to describe the level of lifestyle-related behavioral risk exposure and are not clinical diagnostic criteria for scoliosis.</w:t>
      </w:r>
    </w:p>
    <w:tbl>
      <w:tblPr>
        <w:tblStyle w:val="32"/>
        <w:tblW w:w="10656" w:type="dxa"/>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108" w:type="dxa"/>
          <w:bottom w:w="0" w:type="dxa"/>
          <w:right w:w="108" w:type="dxa"/>
        </w:tblCellMar>
      </w:tblPr>
      <w:tblGrid>
        <w:gridCol w:w="2304"/>
        <w:gridCol w:w="2160"/>
        <w:gridCol w:w="6192"/>
      </w:tblGrid>
      <w:tr w14:paraId="55DB2B1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2304" w:type="dxa"/>
            <w:tcBorders>
              <w:top w:val="single" w:color="000000" w:sz="12" w:space="0"/>
              <w:left w:val="nil"/>
              <w:bottom w:val="single" w:color="000000" w:sz="4" w:space="0"/>
              <w:right w:val="nil"/>
              <w:tl2br w:val="nil"/>
            </w:tcBorders>
            <w:shd w:val="clear" w:color="auto" w:fill="FFFFFF"/>
            <w:vAlign w:val="center"/>
          </w:tcPr>
          <w:p w14:paraId="167856F3">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Total score range</w:t>
            </w:r>
          </w:p>
        </w:tc>
        <w:tc>
          <w:tcPr>
            <w:tcW w:w="2160" w:type="dxa"/>
            <w:tcBorders>
              <w:top w:val="single" w:color="000000" w:sz="12" w:space="0"/>
              <w:left w:val="nil"/>
              <w:bottom w:val="single" w:color="000000" w:sz="4" w:space="0"/>
              <w:right w:val="nil"/>
            </w:tcBorders>
            <w:shd w:val="clear" w:color="auto" w:fill="FFFFFF"/>
            <w:vAlign w:val="center"/>
          </w:tcPr>
          <w:p w14:paraId="06FA468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Risk level</w:t>
            </w:r>
          </w:p>
        </w:tc>
        <w:tc>
          <w:tcPr>
            <w:tcW w:w="6192" w:type="dxa"/>
            <w:tcBorders>
              <w:top w:val="single" w:color="000000" w:sz="12" w:space="0"/>
              <w:left w:val="nil"/>
              <w:bottom w:val="single" w:color="000000" w:sz="4" w:space="0"/>
              <w:right w:val="nil"/>
            </w:tcBorders>
            <w:shd w:val="clear" w:color="auto" w:fill="FFFFFF"/>
            <w:vAlign w:val="center"/>
          </w:tcPr>
          <w:p w14:paraId="75CB255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Interpretation</w:t>
            </w:r>
          </w:p>
        </w:tc>
      </w:tr>
      <w:tr w14:paraId="2A3ECD6E">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2304" w:type="dxa"/>
            <w:tcBorders>
              <w:top w:val="single" w:color="000000" w:sz="4" w:space="0"/>
              <w:left w:val="nil"/>
              <w:bottom w:val="nil"/>
              <w:right w:val="nil"/>
            </w:tcBorders>
            <w:shd w:val="clear" w:color="auto" w:fill="FFFFFF"/>
            <w:vAlign w:val="center"/>
          </w:tcPr>
          <w:p w14:paraId="55BB8AAD">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&lt;70</w:t>
            </w:r>
          </w:p>
        </w:tc>
        <w:tc>
          <w:tcPr>
            <w:tcW w:w="2160" w:type="dxa"/>
            <w:tcBorders>
              <w:top w:val="single" w:color="000000" w:sz="4" w:space="0"/>
              <w:left w:val="nil"/>
              <w:bottom w:val="nil"/>
              <w:right w:val="nil"/>
            </w:tcBorders>
            <w:shd w:val="clear" w:color="auto" w:fill="FFFFFF"/>
            <w:vAlign w:val="center"/>
          </w:tcPr>
          <w:p w14:paraId="0CC6CBE2">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Low risk</w:t>
            </w:r>
          </w:p>
        </w:tc>
        <w:tc>
          <w:tcPr>
            <w:tcW w:w="6192" w:type="dxa"/>
            <w:tcBorders>
              <w:top w:val="single" w:color="000000" w:sz="4" w:space="0"/>
              <w:left w:val="nil"/>
              <w:bottom w:val="nil"/>
              <w:right w:val="nil"/>
            </w:tcBorders>
            <w:shd w:val="clear" w:color="auto" w:fill="FFFFFF"/>
            <w:vAlign w:val="center"/>
          </w:tcPr>
          <w:p w14:paraId="244AE33E">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Lower level of lifestyle-related behavioral risk exposure.</w:t>
            </w:r>
          </w:p>
        </w:tc>
      </w:tr>
      <w:tr w14:paraId="20D8C687">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2304" w:type="dxa"/>
            <w:tcBorders>
              <w:top w:val="nil"/>
              <w:left w:val="nil"/>
              <w:bottom w:val="nil"/>
              <w:right w:val="nil"/>
            </w:tcBorders>
            <w:shd w:val="clear" w:color="auto" w:fill="FFFFFF"/>
            <w:vAlign w:val="center"/>
          </w:tcPr>
          <w:p w14:paraId="0D664FE9">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70–89</w:t>
            </w:r>
          </w:p>
        </w:tc>
        <w:tc>
          <w:tcPr>
            <w:tcW w:w="2160" w:type="dxa"/>
            <w:tcBorders>
              <w:top w:val="nil"/>
              <w:left w:val="nil"/>
              <w:bottom w:val="nil"/>
              <w:right w:val="nil"/>
            </w:tcBorders>
            <w:shd w:val="clear" w:color="auto" w:fill="FFFFFF"/>
            <w:vAlign w:val="center"/>
          </w:tcPr>
          <w:p w14:paraId="0B8548FF">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Moderate risk</w:t>
            </w:r>
          </w:p>
        </w:tc>
        <w:tc>
          <w:tcPr>
            <w:tcW w:w="6192" w:type="dxa"/>
            <w:tcBorders>
              <w:top w:val="nil"/>
              <w:left w:val="nil"/>
              <w:bottom w:val="nil"/>
              <w:right w:val="nil"/>
            </w:tcBorders>
            <w:shd w:val="clear" w:color="auto" w:fill="FFFFFF"/>
            <w:vAlign w:val="center"/>
          </w:tcPr>
          <w:p w14:paraId="006A47C0">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Moderate level of lifestyle-related behavioral risk exposure; attention to modifiable factors is recommended.</w:t>
            </w:r>
          </w:p>
        </w:tc>
      </w:tr>
      <w:tr w14:paraId="35AEE09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jc w:val="center"/>
        </w:trPr>
        <w:tc>
          <w:tcPr>
            <w:tcW w:w="2304" w:type="dxa"/>
            <w:tcBorders>
              <w:top w:val="nil"/>
              <w:left w:val="nil"/>
              <w:bottom w:val="single" w:color="000000" w:sz="12" w:space="0"/>
              <w:right w:val="nil"/>
            </w:tcBorders>
            <w:shd w:val="clear" w:color="auto" w:fill="FFFFFF"/>
            <w:vAlign w:val="center"/>
          </w:tcPr>
          <w:p w14:paraId="68FAFA7C">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≥90</w:t>
            </w:r>
          </w:p>
        </w:tc>
        <w:tc>
          <w:tcPr>
            <w:tcW w:w="2160" w:type="dxa"/>
            <w:tcBorders>
              <w:top w:val="nil"/>
              <w:left w:val="nil"/>
              <w:bottom w:val="single" w:color="000000" w:sz="12" w:space="0"/>
              <w:right w:val="nil"/>
            </w:tcBorders>
            <w:shd w:val="clear" w:color="auto" w:fill="FFFFFF"/>
            <w:vAlign w:val="center"/>
          </w:tcPr>
          <w:p w14:paraId="4384BC28">
            <w:pPr>
              <w:pageBreakBefore w:val="0"/>
              <w:widowControl/>
              <w:kinsoku/>
              <w:wordWrap/>
              <w:overflowPunct/>
              <w:topLinePunct w:val="0"/>
              <w:autoSpaceDE/>
              <w:autoSpaceDN/>
              <w:bidi w:val="0"/>
              <w:adjustRightInd/>
              <w:snapToGrid/>
              <w:spacing w:after="0" w:line="480" w:lineRule="auto"/>
              <w:jc w:val="center"/>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High risk</w:t>
            </w:r>
          </w:p>
        </w:tc>
        <w:tc>
          <w:tcPr>
            <w:tcW w:w="6192" w:type="dxa"/>
            <w:tcBorders>
              <w:top w:val="nil"/>
              <w:left w:val="nil"/>
              <w:bottom w:val="single" w:color="000000" w:sz="12" w:space="0"/>
              <w:right w:val="nil"/>
            </w:tcBorders>
            <w:shd w:val="clear" w:color="auto" w:fill="FFFFFF"/>
            <w:vAlign w:val="center"/>
          </w:tcPr>
          <w:p w14:paraId="1AD1B530">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b w:val="0"/>
                <w:color w:val="000000"/>
                <w:sz w:val="24"/>
                <w:szCs w:val="24"/>
              </w:rPr>
            </w:pPr>
            <w:r>
              <w:rPr>
                <w:rFonts w:hint="default" w:ascii="Times New Roman" w:hAnsi="Times New Roman" w:eastAsia="微软雅黑" w:cs="Times New Roman"/>
                <w:b w:val="0"/>
                <w:color w:val="000000"/>
                <w:sz w:val="24"/>
                <w:szCs w:val="24"/>
              </w:rPr>
              <w:t>Higher level of lifestyle-related behavioral risk exposure; health education and behavioral intervention are recommended.</w:t>
            </w:r>
          </w:p>
        </w:tc>
      </w:tr>
    </w:tbl>
    <w:p w14:paraId="522AFE8F">
      <w:pPr>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eastAsia="微软雅黑" w:cs="Times New Roman"/>
          <w:color w:val="auto"/>
          <w:sz w:val="24"/>
          <w:szCs w:val="24"/>
        </w:rPr>
      </w:pPr>
    </w:p>
    <w:sectPr>
      <w:pgSz w:w="12240" w:h="15840"/>
      <w:pgMar w:top="792" w:right="864" w:bottom="792" w:left="86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0EB504"/>
    <w:multiLevelType w:val="singleLevel"/>
    <w:tmpl w:val="990EB504"/>
    <w:lvl w:ilvl="0" w:tentative="0">
      <w:start w:val="2"/>
      <w:numFmt w:val="decimal"/>
      <w:suff w:val="space"/>
      <w:lvlText w:val="%1."/>
      <w:lvlJc w:val="left"/>
    </w:lvl>
  </w:abstractNum>
  <w:abstractNum w:abstractNumId="1">
    <w:nsid w:val="9CBD46AF"/>
    <w:multiLevelType w:val="singleLevel"/>
    <w:tmpl w:val="9CBD46AF"/>
    <w:lvl w:ilvl="0" w:tentative="0">
      <w:start w:val="3"/>
      <w:numFmt w:val="decimal"/>
      <w:suff w:val="space"/>
      <w:lvlText w:val="%1."/>
      <w:lvlJc w:val="left"/>
    </w:lvl>
  </w:abstractNum>
  <w:abstractNum w:abstractNumId="2">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4">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5">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6">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7">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3"/>
  </w:num>
  <w:num w:numId="2">
    <w:abstractNumId w:val="6"/>
  </w:num>
  <w:num w:numId="3">
    <w:abstractNumId w:val="7"/>
  </w:num>
  <w:num w:numId="4">
    <w:abstractNumId w:val="4"/>
  </w:num>
  <w:num w:numId="5">
    <w:abstractNumId w:val="2"/>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D743B5"/>
    <w:rsid w:val="00FC693F"/>
    <w:rsid w:val="0A805ABD"/>
    <w:rsid w:val="0BF00A21"/>
    <w:rsid w:val="0DDD0242"/>
    <w:rsid w:val="0EC73541"/>
    <w:rsid w:val="10321608"/>
    <w:rsid w:val="126F07E8"/>
    <w:rsid w:val="15363948"/>
    <w:rsid w:val="161812A0"/>
    <w:rsid w:val="2B8976F1"/>
    <w:rsid w:val="2C1A7D2D"/>
    <w:rsid w:val="2CC413E2"/>
    <w:rsid w:val="30E45710"/>
    <w:rsid w:val="359B42D6"/>
    <w:rsid w:val="394E5ABB"/>
    <w:rsid w:val="48CC4A86"/>
    <w:rsid w:val="4B837D92"/>
    <w:rsid w:val="54D61751"/>
    <w:rsid w:val="555060C5"/>
    <w:rsid w:val="65FE2CB0"/>
    <w:rsid w:val="7D2E7EAA"/>
    <w:rsid w:val="7EAF3BD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2F5A8C"/>
      <w:sz w:val="26"/>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1507</Words>
  <Characters>7688</Characters>
  <Lines>0</Lines>
  <Paragraphs>0</Paragraphs>
  <TotalTime>45</TotalTime>
  <ScaleCrop>false</ScaleCrop>
  <LinksUpToDate>false</LinksUpToDate>
  <CharactersWithSpaces>8807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曹媛媛</cp:lastModifiedBy>
  <dcterms:modified xsi:type="dcterms:W3CDTF">2026-05-23T06:25:20Z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eyJoZGlkIjoiZjIyNjkwZjYxMTBmZWE0MTQ1NGU1MTcyZDIwOWI0MTQiLCJ1c2VySWQiOiIxMTIwMDM5NTA3In0=</vt:lpwstr>
  </property>
  <property fmtid="{D5CDD505-2E9C-101B-9397-08002B2CF9AE}" pid="3" name="KSOProductBuildVer">
    <vt:lpwstr>2052-12.1.0.26375</vt:lpwstr>
  </property>
  <property fmtid="{D5CDD505-2E9C-101B-9397-08002B2CF9AE}" pid="4" name="ICV">
    <vt:lpwstr>9B36E3D0B78840D5811067833BBBDF7A_12</vt:lpwstr>
  </property>
</Properties>
</file>