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9D1FB" w14:textId="77777777" w:rsidR="00683EC6" w:rsidRDefault="00683EC6" w:rsidP="00683EC6">
      <w:pPr>
        <w:pStyle w:val="Heading2"/>
        <w:spacing w:after="120"/>
      </w:pPr>
      <w:r>
        <w:t>SUPPLEMENTARY MATERIAL</w:t>
      </w:r>
    </w:p>
    <w:p w14:paraId="0A294634" w14:textId="77777777" w:rsidR="00683EC6" w:rsidRDefault="00683EC6" w:rsidP="00683EC6">
      <w:pPr>
        <w:spacing w:before="100" w:after="80"/>
      </w:pPr>
      <w:r>
        <w:rPr>
          <w:b/>
          <w:bCs/>
        </w:rPr>
        <w:t>Table S1. Bivariate logistic regression for additional covariates (exploratory).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2120"/>
        <w:gridCol w:w="2120"/>
        <w:gridCol w:w="2120"/>
      </w:tblGrid>
      <w:tr w:rsidR="00683EC6" w14:paraId="0C805BD7" w14:textId="77777777" w:rsidTr="009E52AF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76FF52" w14:textId="77777777" w:rsidR="00683EC6" w:rsidRDefault="00683EC6" w:rsidP="009E52AF">
            <w:r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DE31A" w14:textId="77777777" w:rsidR="00683EC6" w:rsidRDefault="00683EC6" w:rsidP="009E52A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Orientation OR (95% CI)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6E2F17" w14:textId="77777777" w:rsidR="00683EC6" w:rsidRDefault="00683EC6" w:rsidP="009E52A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Selective Attention OR (95% CI)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16C9B" w14:textId="77777777" w:rsidR="00683EC6" w:rsidRDefault="00683EC6" w:rsidP="009E52AF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Working Memory OR (95% CI)</w:t>
            </w:r>
          </w:p>
        </w:tc>
      </w:tr>
      <w:tr w:rsidR="00683EC6" w14:paraId="6926D596" w14:textId="77777777" w:rsidTr="009E52AF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FFF4E" w14:textId="77777777" w:rsidR="00683EC6" w:rsidRDefault="00683EC6" w:rsidP="009E52AF">
            <w:r>
              <w:rPr>
                <w:sz w:val="20"/>
                <w:szCs w:val="20"/>
              </w:rPr>
              <w:t>Male sex (vs. female)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20FA8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0.91 (0.28–2.97)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F5BFA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1.04 (0.34–3.18)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84549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1.12 (0.36–3.48)</w:t>
            </w:r>
          </w:p>
        </w:tc>
      </w:tr>
      <w:tr w:rsidR="00683EC6" w14:paraId="6D327961" w14:textId="77777777" w:rsidTr="009E52AF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CD40E" w14:textId="77777777" w:rsidR="00683EC6" w:rsidRDefault="00683EC6" w:rsidP="009E52AF">
            <w:r>
              <w:rPr>
                <w:sz w:val="20"/>
                <w:szCs w:val="20"/>
              </w:rPr>
              <w:t>High-grade histology (GBM / medulloblastoma)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BFDA87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1.43 (0.46–4.45)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2F44C8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1.61 (0.52–4.98)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EA165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1.55 (0.50–4.80)</w:t>
            </w:r>
          </w:p>
        </w:tc>
      </w:tr>
      <w:tr w:rsidR="00683EC6" w14:paraId="17F9D22D" w14:textId="77777777" w:rsidTr="009E52AF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76856" w14:textId="77777777" w:rsidR="00683EC6" w:rsidRDefault="00683EC6" w:rsidP="009E52AF">
            <w:r>
              <w:rPr>
                <w:sz w:val="20"/>
                <w:szCs w:val="20"/>
              </w:rPr>
              <w:t>Tumor volume (per 10,000 mm³)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A8CE0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1.03 (0.95–1.11)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B3AD9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1.01 (0.94–1.09)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2D8FFE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0.99 (0.92–1.07)</w:t>
            </w:r>
          </w:p>
        </w:tc>
      </w:tr>
      <w:tr w:rsidR="00683EC6" w14:paraId="6A72CC82" w14:textId="77777777" w:rsidTr="009E52AF"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0C616" w14:textId="77777777" w:rsidR="00683EC6" w:rsidRDefault="00683EC6" w:rsidP="009E52AF">
            <w:r>
              <w:rPr>
                <w:sz w:val="20"/>
                <w:szCs w:val="20"/>
              </w:rPr>
              <w:t>Secondary school or above (vs. primary)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C2D9B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0.44 (0.14–1.40)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E7790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0.52 (0.17–1.59)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DAA80" w14:textId="77777777" w:rsidR="00683EC6" w:rsidRDefault="00683EC6" w:rsidP="009E52AF">
            <w:pPr>
              <w:jc w:val="center"/>
            </w:pPr>
            <w:r>
              <w:rPr>
                <w:sz w:val="20"/>
                <w:szCs w:val="20"/>
              </w:rPr>
              <w:t>0.47 (0.15–1.47)</w:t>
            </w:r>
          </w:p>
        </w:tc>
      </w:tr>
    </w:tbl>
    <w:p w14:paraId="511C9987" w14:textId="77777777" w:rsidR="00683EC6" w:rsidRDefault="00683EC6" w:rsidP="00683EC6">
      <w:pPr>
        <w:spacing w:before="60" w:after="200"/>
      </w:pPr>
      <w:r>
        <w:rPr>
          <w:i/>
          <w:iCs/>
          <w:sz w:val="20"/>
          <w:szCs w:val="20"/>
        </w:rPr>
        <w:t>All models are unadjusted bivariate regressions. These analyses are exploratory and should not be interpreted as confirmatory. OR = odds ratio; CI = confidence interval; GBM = glioblastoma multiforme; DNET = dysembryoplastic neuroepithelial tumor.</w:t>
      </w:r>
    </w:p>
    <w:p w14:paraId="513AA503" w14:textId="77777777" w:rsidR="00683EC6" w:rsidRDefault="00683EC6" w:rsidP="00683EC6">
      <w:pPr>
        <w:pBdr>
          <w:bottom w:val="single" w:sz="6" w:space="1" w:color="2E4057"/>
        </w:pBdr>
        <w:spacing w:after="120"/>
      </w:pPr>
    </w:p>
    <w:p w14:paraId="05095B65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EC6"/>
    <w:rsid w:val="00264C10"/>
    <w:rsid w:val="00470242"/>
    <w:rsid w:val="00683EC6"/>
    <w:rsid w:val="00726E03"/>
    <w:rsid w:val="009542D6"/>
    <w:rsid w:val="00BE6A2A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8ED16"/>
  <w15:chartTrackingRefBased/>
  <w15:docId w15:val="{7A9E3C4F-3416-4C68-811C-8F701A66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EC6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s-MX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E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E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E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E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E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E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E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E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E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E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E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3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EC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3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EC6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3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2026-05-26T14:41:00Z</dcterms:created>
  <dcterms:modified xsi:type="dcterms:W3CDTF">2026-05-26T14:42:00Z</dcterms:modified>
</cp:coreProperties>
</file>