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21" w:rsidRDefault="00DE0A1A">
      <w:pPr>
        <w:rPr>
          <w:rFonts w:ascii="Arial" w:hAnsi="Arial" w:cs="Arial"/>
          <w:sz w:val="32"/>
          <w:szCs w:val="32"/>
        </w:rPr>
      </w:pPr>
      <w:r w:rsidRPr="00DE0A1A">
        <w:rPr>
          <w:rFonts w:ascii="Arial" w:hAnsi="Arial" w:cs="Arial"/>
          <w:b/>
          <w:sz w:val="32"/>
          <w:szCs w:val="32"/>
        </w:rPr>
        <w:t>Supplementary Figures</w:t>
      </w:r>
    </w:p>
    <w:p w:rsidR="00150D36" w:rsidRDefault="00E35161" w:rsidP="00150D36">
      <w:pPr>
        <w:keepNext/>
      </w:pPr>
      <w:r>
        <w:rPr>
          <w:noProof/>
          <w:lang w:eastAsia="en-AU"/>
        </w:rPr>
        <w:drawing>
          <wp:inline distT="0" distB="0" distL="0" distR="0">
            <wp:extent cx="5731510" cy="54133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_fig1_edit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13" w:rsidRPr="00DA77DE" w:rsidRDefault="00150D36" w:rsidP="008F2181">
      <w:pPr>
        <w:spacing w:line="240" w:lineRule="auto"/>
        <w:rPr>
          <w:rFonts w:ascii="Arial" w:hAnsi="Arial" w:cs="Arial"/>
          <w:sz w:val="20"/>
          <w:szCs w:val="20"/>
        </w:rPr>
      </w:pPr>
      <w:r w:rsidRPr="00DA77DE">
        <w:rPr>
          <w:rStyle w:val="Strong"/>
          <w:rFonts w:ascii="Arial" w:hAnsi="Arial" w:cs="Arial"/>
          <w:sz w:val="20"/>
          <w:szCs w:val="20"/>
        </w:rPr>
        <w:t>Supplementary Figure 1. Encoder adaptation diagnostics.</w:t>
      </w:r>
      <w:r w:rsidRPr="00DA77DE">
        <w:rPr>
          <w:rFonts w:ascii="Arial" w:hAnsi="Arial" w:cs="Arial"/>
          <w:sz w:val="20"/>
          <w:szCs w:val="20"/>
        </w:rPr>
        <w:br/>
      </w:r>
      <w:r w:rsidR="008F2181" w:rsidRPr="00DA77DE">
        <w:rPr>
          <w:rStyle w:val="Strong"/>
          <w:rFonts w:ascii="Arial" w:hAnsi="Arial" w:cs="Arial"/>
          <w:sz w:val="20"/>
          <w:szCs w:val="20"/>
        </w:rPr>
        <w:t>a,</w:t>
      </w:r>
      <w:r w:rsidR="008F2181" w:rsidRPr="00DA77DE">
        <w:rPr>
          <w:rFonts w:ascii="Arial" w:hAnsi="Arial" w:cs="Arial"/>
          <w:sz w:val="20"/>
          <w:szCs w:val="20"/>
        </w:rPr>
        <w:t xml:space="preserve"> Base-versus-adapted cosine similarity for held-out canonical ACHD summaries. Mean similarity was 0.99894, with SD 0.00006, median 0.99893 and minimum 0.99883, indicating minimal embedding drift after schema adaptation. </w:t>
      </w:r>
      <w:r w:rsidR="008F2181" w:rsidRPr="00DA77DE">
        <w:rPr>
          <w:rStyle w:val="Strong"/>
          <w:rFonts w:ascii="Arial" w:hAnsi="Arial" w:cs="Arial"/>
          <w:sz w:val="20"/>
          <w:szCs w:val="20"/>
        </w:rPr>
        <w:t>b,</w:t>
      </w:r>
      <w:r w:rsidR="008F2181" w:rsidRPr="00DA77DE">
        <w:rPr>
          <w:rFonts w:ascii="Arial" w:hAnsi="Arial" w:cs="Arial"/>
          <w:sz w:val="20"/>
          <w:szCs w:val="20"/>
        </w:rPr>
        <w:t xml:space="preserve"> Change in pairwise cosine similarity after adaptation, calculated as adapted minus base similarity. Pairwise structure was preserved across held-out summaries, with Pearson r = 0.99992, Spearman ρ = 0.99986 and ΔAUROC = 0.00014 [−0.00018, 0.00054]. </w:t>
      </w:r>
      <w:r w:rsidR="008F2181" w:rsidRPr="00DA77DE">
        <w:rPr>
          <w:rStyle w:val="Strong"/>
          <w:rFonts w:ascii="Arial" w:hAnsi="Arial" w:cs="Arial"/>
          <w:sz w:val="20"/>
          <w:szCs w:val="20"/>
        </w:rPr>
        <w:t>c,</w:t>
      </w:r>
      <w:r w:rsidR="008F2181" w:rsidRPr="00DA77DE">
        <w:rPr>
          <w:rFonts w:ascii="Arial" w:hAnsi="Arial" w:cs="Arial"/>
          <w:sz w:val="20"/>
          <w:szCs w:val="20"/>
        </w:rPr>
        <w:t xml:space="preserve"> Nearest-neighbour preservation between base and adapted embedding spaces. Filled points show mean top-k overlap and open points show median overlap for k = 5, 10, 25 and 50; median overlap was 100% for all k. </w:t>
      </w:r>
      <w:r w:rsidR="008F2181" w:rsidRPr="00DA77DE">
        <w:rPr>
          <w:rStyle w:val="Strong"/>
          <w:rFonts w:ascii="Arial" w:hAnsi="Arial" w:cs="Arial"/>
          <w:sz w:val="20"/>
          <w:szCs w:val="20"/>
        </w:rPr>
        <w:t>d,</w:t>
      </w:r>
      <w:r w:rsidR="008F2181" w:rsidRPr="00DA77DE">
        <w:rPr>
          <w:rFonts w:ascii="Arial" w:hAnsi="Arial" w:cs="Arial"/>
          <w:sz w:val="20"/>
          <w:szCs w:val="20"/>
        </w:rPr>
        <w:t xml:space="preserve"> Base-versus-adapted clustering agreement across the λ sweep, measured using ARI and NMI. The dashed line marks the selected operating point, λ = 0.70, where agreement remained high (ARI = 0.995; NMI = 0.994). Together, these diagnostics show that schema adaptation preserved embedding geometry, local neighbourhood structure and clustering behaviour.</w:t>
      </w:r>
    </w:p>
    <w:p w:rsidR="00FA1466" w:rsidRDefault="00E35161" w:rsidP="00FA1466">
      <w:pPr>
        <w:keepNext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54133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_fig2_edit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58" w:rsidRPr="0043552F" w:rsidRDefault="00FA1466" w:rsidP="00E9588D">
      <w:pPr>
        <w:spacing w:line="240" w:lineRule="auto"/>
        <w:rPr>
          <w:rFonts w:ascii="Arial" w:hAnsi="Arial" w:cs="Arial"/>
          <w:b/>
          <w:iCs/>
          <w:sz w:val="20"/>
          <w:szCs w:val="20"/>
        </w:rPr>
      </w:pPr>
      <w:r w:rsidRPr="0043552F">
        <w:rPr>
          <w:rStyle w:val="Strong"/>
          <w:rFonts w:ascii="Arial" w:hAnsi="Arial" w:cs="Arial"/>
          <w:sz w:val="20"/>
          <w:szCs w:val="20"/>
        </w:rPr>
        <w:t>Supplementary Figure 2. Clinical profile of noise-labelled patients.</w:t>
      </w:r>
      <w:r w:rsidRPr="0043552F">
        <w:rPr>
          <w:rFonts w:ascii="Arial" w:hAnsi="Arial" w:cs="Arial"/>
          <w:sz w:val="20"/>
          <w:szCs w:val="20"/>
        </w:rPr>
        <w:br/>
      </w:r>
      <w:r w:rsidRPr="0043552F">
        <w:rPr>
          <w:rStyle w:val="Strong"/>
          <w:rFonts w:ascii="Arial" w:hAnsi="Arial" w:cs="Arial"/>
          <w:sz w:val="20"/>
          <w:szCs w:val="20"/>
        </w:rPr>
        <w:t>a,</w:t>
      </w:r>
      <w:r w:rsidRPr="0043552F">
        <w:rPr>
          <w:rFonts w:ascii="Arial" w:hAnsi="Arial" w:cs="Arial"/>
          <w:sz w:val="20"/>
          <w:szCs w:val="20"/>
        </w:rPr>
        <w:t xml:space="preserve"> Distribution of CHD complexity among patients assigned to a primary semantic phenotype versus patients retained as noise by HDBSCAN. Assigned patients were pooled across all six non-noise primary phenotypes. Noise-labelled patients showed a higher proportion of severe CHD complexity than assigned patients, indicating that the noise group was not simply random residual variation. Colours indicate mild, moderate and severe CHD complexity. </w:t>
      </w:r>
      <w:r w:rsidRPr="0043552F">
        <w:rPr>
          <w:rStyle w:val="Strong"/>
          <w:rFonts w:ascii="Arial" w:hAnsi="Arial" w:cs="Arial"/>
          <w:sz w:val="20"/>
          <w:szCs w:val="20"/>
        </w:rPr>
        <w:t>b,</w:t>
      </w:r>
      <w:r w:rsidRPr="0043552F">
        <w:rPr>
          <w:rFonts w:ascii="Arial" w:hAnsi="Arial" w:cs="Arial"/>
          <w:sz w:val="20"/>
          <w:szCs w:val="20"/>
        </w:rPr>
        <w:t xml:space="preserve"> Lesion-category enrichment among noise-labelled patients, calculated as the lesion prevalence in noise-labelled patients minus the lesion prevalence in assigned patients. Positive values indicate lesion categories that were more common among noise-labelled patients, whereas negative values indicate lesion categories that were more common among assigned patients. Noise-labelled patients were enriched for several less densely represented or more heterogeneous lesion categories, including anomalous origin of pulmonary vein, systemic right ventricle/TGA after atrial switch, Ebstein’s anomaly, mitral valve disorders and pulmonary atresia with pulmonary valve replacement. </w:t>
      </w:r>
      <w:r w:rsidRPr="0043552F">
        <w:rPr>
          <w:rStyle w:val="Strong"/>
          <w:rFonts w:ascii="Arial" w:hAnsi="Arial" w:cs="Arial"/>
          <w:sz w:val="20"/>
          <w:szCs w:val="20"/>
        </w:rPr>
        <w:t>c,</w:t>
      </w:r>
      <w:r w:rsidRPr="0043552F">
        <w:rPr>
          <w:rFonts w:ascii="Arial" w:hAnsi="Arial" w:cs="Arial"/>
          <w:sz w:val="20"/>
          <w:szCs w:val="20"/>
        </w:rPr>
        <w:t xml:space="preserve"> Standardised mean differences comparing noise-labelled versus assigned patients across selected clinical and patient-reported variables. Values are calculated as noise-labelled minus assigned; positive values indicate higher mean values in noise-labelled patients, and negative values indicate lower mean values in noise-labelled patients. Grey points indicate variables higher in noise-labelled patients, while blue points indicate variables lower in noise-labelled patients. Noise-labelled patients showed higher distress scores and lower PedsQL functioning scores, supporting interpretation of the noise group as a clinically meaningful density-unstable subgroup rather than analytic failure.</w:t>
      </w:r>
      <w:r w:rsidR="00743658" w:rsidRPr="0043552F">
        <w:rPr>
          <w:rFonts w:ascii="Arial" w:hAnsi="Arial" w:cs="Arial"/>
          <w:b/>
          <w:i/>
          <w:sz w:val="20"/>
          <w:szCs w:val="20"/>
        </w:rPr>
        <w:br w:type="page"/>
      </w:r>
    </w:p>
    <w:p w:rsidR="00743658" w:rsidRPr="00743658" w:rsidRDefault="00743658" w:rsidP="007B76B6">
      <w:pPr>
        <w:pStyle w:val="Caption"/>
        <w:keepNext/>
        <w:rPr>
          <w:rFonts w:ascii="Arial" w:hAnsi="Arial" w:cs="Arial"/>
          <w:b/>
          <w:i w:val="0"/>
          <w:color w:val="auto"/>
          <w:sz w:val="32"/>
          <w:szCs w:val="32"/>
        </w:rPr>
      </w:pPr>
      <w:r w:rsidRPr="00743658">
        <w:rPr>
          <w:rFonts w:ascii="Arial" w:hAnsi="Arial" w:cs="Arial"/>
          <w:b/>
          <w:i w:val="0"/>
          <w:color w:val="auto"/>
          <w:sz w:val="32"/>
          <w:szCs w:val="32"/>
        </w:rPr>
        <w:lastRenderedPageBreak/>
        <w:t>Supplementary Tables</w:t>
      </w:r>
    </w:p>
    <w:p w:rsidR="007B76B6" w:rsidRPr="00755131" w:rsidRDefault="007B76B6" w:rsidP="007B76B6">
      <w:pPr>
        <w:pStyle w:val="Caption"/>
        <w:keepNext/>
        <w:rPr>
          <w:rFonts w:ascii="Arial" w:hAnsi="Arial" w:cs="Arial"/>
          <w:b/>
          <w:i w:val="0"/>
          <w:color w:val="auto"/>
          <w:sz w:val="24"/>
          <w:szCs w:val="22"/>
        </w:rPr>
      </w:pP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t xml:space="preserve">Supplementary Table </w:t>
      </w: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fldChar w:fldCharType="begin"/>
      </w: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instrText xml:space="preserve"> SEQ Table \* ARABIC </w:instrText>
      </w: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fldChar w:fldCharType="separate"/>
      </w:r>
      <w:r w:rsidR="006162D6" w:rsidRPr="00755131">
        <w:rPr>
          <w:rFonts w:ascii="Arial" w:hAnsi="Arial" w:cs="Arial"/>
          <w:b/>
          <w:i w:val="0"/>
          <w:noProof/>
          <w:color w:val="auto"/>
          <w:sz w:val="24"/>
          <w:szCs w:val="22"/>
        </w:rPr>
        <w:t>1</w:t>
      </w: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fldChar w:fldCharType="end"/>
      </w:r>
      <w:r w:rsidRPr="00755131">
        <w:rPr>
          <w:rFonts w:ascii="Arial" w:hAnsi="Arial" w:cs="Arial"/>
          <w:b/>
          <w:i w:val="0"/>
          <w:color w:val="auto"/>
          <w:sz w:val="24"/>
          <w:szCs w:val="22"/>
        </w:rPr>
        <w:t>. Encoder adaptation settings and stability diagnostics.</w:t>
      </w:r>
    </w:p>
    <w:tbl>
      <w:tblPr>
        <w:tblStyle w:val="TableGrid"/>
        <w:tblW w:w="8847" w:type="dxa"/>
        <w:tblInd w:w="1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2"/>
        <w:gridCol w:w="4775"/>
      </w:tblGrid>
      <w:tr w:rsidR="004A5747" w:rsidRPr="007B76B6" w:rsidTr="00B35C64">
        <w:tc>
          <w:tcPr>
            <w:tcW w:w="4072" w:type="dxa"/>
            <w:tcBorders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775" w:type="dxa"/>
            <w:tcBorders>
              <w:left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Value</w:t>
            </w:r>
          </w:p>
        </w:tc>
      </w:tr>
      <w:tr w:rsidR="006C0E92" w:rsidRPr="007B76B6" w:rsidTr="00B35C64">
        <w:tc>
          <w:tcPr>
            <w:tcW w:w="8847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6C0E92" w:rsidRPr="007B76B6" w:rsidRDefault="006C0E92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Encoder adaptation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Base encoder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BAAI/bge-large-en-v1.5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Adapted encoder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1F36F3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BAAI/bge-large-en-v1.5</w:t>
            </w:r>
            <w:r w:rsidR="001F36F3">
              <w:rPr>
                <w:rFonts w:ascii="Arial" w:hAnsi="Arial" w:cs="Arial"/>
              </w:rPr>
              <w:t>,</w:t>
            </w:r>
            <w:r w:rsidRPr="007B76B6">
              <w:rPr>
                <w:rFonts w:ascii="Arial" w:hAnsi="Arial" w:cs="Arial"/>
              </w:rPr>
              <w:t xml:space="preserve"> </w:t>
            </w:r>
            <w:r w:rsidR="00F00A5B">
              <w:rPr>
                <w:rFonts w:ascii="Arial" w:hAnsi="Arial" w:cs="Arial"/>
              </w:rPr>
              <w:t>sc</w:t>
            </w:r>
            <w:r w:rsidR="001F36F3">
              <w:rPr>
                <w:rFonts w:ascii="Arial" w:hAnsi="Arial" w:cs="Arial"/>
              </w:rPr>
              <w:t>h</w:t>
            </w:r>
            <w:r w:rsidR="00F00A5B">
              <w:rPr>
                <w:rFonts w:ascii="Arial" w:hAnsi="Arial" w:cs="Arial"/>
              </w:rPr>
              <w:t>e</w:t>
            </w:r>
            <w:r w:rsidR="001F36F3">
              <w:rPr>
                <w:rFonts w:ascii="Arial" w:hAnsi="Arial" w:cs="Arial"/>
              </w:rPr>
              <w:t>ma-adapted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Adaptation summaries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1,121 deterministic ACHD summaries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Train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/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validation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/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test split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784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/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168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/</w:t>
            </w:r>
            <w:r w:rsidR="00AB3C9D" w:rsidRPr="007B76B6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169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06F56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Training configuration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06F56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1 epoch; batch size 32; learning rate 5 ×</w:t>
            </w:r>
            <w:r w:rsidR="009D2EC3">
              <w:rPr>
                <w:rFonts w:ascii="Arial" w:hAnsi="Arial" w:cs="Arial"/>
              </w:rPr>
              <w:t xml:space="preserve"> 10</w:t>
            </w:r>
            <w:r w:rsidR="009D2EC3" w:rsidRPr="0057281C">
              <w:rPr>
                <w:rFonts w:ascii="Arial" w:hAnsi="Arial" w:cs="Arial"/>
                <w:sz w:val="24"/>
                <w:vertAlign w:val="superscript"/>
              </w:rPr>
              <w:t>-6</w:t>
            </w:r>
            <w:r w:rsidRPr="007B76B6">
              <w:rPr>
                <w:rFonts w:ascii="Arial" w:hAnsi="Arial" w:cs="Arial"/>
              </w:rPr>
              <w:t xml:space="preserve">; </w:t>
            </w:r>
            <w:r w:rsidR="000711BB" w:rsidRPr="007B76B6">
              <w:rPr>
                <w:rFonts w:ascii="Arial" w:hAnsi="Arial" w:cs="Arial"/>
              </w:rPr>
              <w:t>warm-up</w:t>
            </w:r>
            <w:r w:rsidRPr="007B76B6">
              <w:rPr>
                <w:rFonts w:ascii="Arial" w:hAnsi="Arial" w:cs="Arial"/>
              </w:rPr>
              <w:t xml:space="preserve"> 0.05; max length 384; 1 augmented view per record; 6 anchor repeats; final encoder layer unfrozen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Training objective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Positive-pair cosine loss + MSE anchoring to frozen base embeddings</w:t>
            </w:r>
          </w:p>
        </w:tc>
      </w:tr>
      <w:tr w:rsidR="007E7EAD" w:rsidRPr="007B76B6" w:rsidTr="00B35C64">
        <w:tc>
          <w:tcPr>
            <w:tcW w:w="8847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7E7EAD" w:rsidRPr="007B76B6" w:rsidRDefault="007E7EAD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Parameter-change diagnostics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Largest relative L2 parameter change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≈</w:t>
            </w:r>
            <w:r w:rsidR="006A6DFF">
              <w:rPr>
                <w:rFonts w:ascii="Arial" w:hAnsi="Arial" w:cs="Arial"/>
              </w:rPr>
              <w:t xml:space="preserve"> </w:t>
            </w:r>
            <w:r w:rsidRPr="007B76B6">
              <w:rPr>
                <w:rFonts w:ascii="Arial" w:hAnsi="Arial" w:cs="Arial"/>
              </w:rPr>
              <w:t>0.000888 (encoder layer 23)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Relative L2 change in most other encoder layers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F5281A" w:rsidP="004549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≈</w:t>
            </w:r>
            <w:r w:rsidR="006A6DF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0.000016</w:t>
            </w:r>
            <w:r>
              <w:t>–</w:t>
            </w:r>
            <w:r w:rsidR="004A5747" w:rsidRPr="007B76B6">
              <w:rPr>
                <w:rFonts w:ascii="Arial" w:hAnsi="Arial" w:cs="Arial"/>
              </w:rPr>
              <w:t>0.000020</w:t>
            </w:r>
          </w:p>
        </w:tc>
      </w:tr>
      <w:tr w:rsidR="00745D33" w:rsidRPr="007B76B6" w:rsidTr="00B35C64">
        <w:tc>
          <w:tcPr>
            <w:tcW w:w="884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745D33" w:rsidRPr="007B76B6" w:rsidRDefault="00745D33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Embedding preservation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052AC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</w:t>
            </w:r>
            <w:r w:rsidR="004A5747" w:rsidRPr="007B76B6">
              <w:rPr>
                <w:rFonts w:ascii="Arial" w:hAnsi="Arial" w:cs="Arial"/>
              </w:rPr>
              <w:t>ase-adapted cosine similarity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A246BE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 xml:space="preserve">Mean </w:t>
            </w:r>
            <w:r w:rsidR="004A5747" w:rsidRPr="007B76B6">
              <w:rPr>
                <w:rFonts w:ascii="Arial" w:hAnsi="Arial" w:cs="Arial"/>
              </w:rPr>
              <w:t>0.998942</w:t>
            </w:r>
            <w:r w:rsidRPr="007B76B6">
              <w:rPr>
                <w:rFonts w:ascii="Arial" w:hAnsi="Arial" w:cs="Arial"/>
              </w:rPr>
              <w:t>; SD 0.000060; minimum 0.998828; 1st percentile 0.998842</w:t>
            </w:r>
          </w:p>
        </w:tc>
      </w:tr>
      <w:tr w:rsidR="00A246BE" w:rsidRPr="007B76B6" w:rsidTr="00B35C64">
        <w:tc>
          <w:tcPr>
            <w:tcW w:w="884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A246BE" w:rsidRPr="007B76B6" w:rsidRDefault="00A246BE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  <w:b/>
              </w:rPr>
              <w:t>Pairwise geometry preservation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Pairwise comparisons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14,196 held-out canonical pairs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5B1E12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Base-vs-adapted pairwise similarity correlation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5B1E12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Pear</w:t>
            </w:r>
            <w:r w:rsidR="00015A7B">
              <w:rPr>
                <w:rFonts w:ascii="Arial" w:hAnsi="Arial" w:cs="Arial"/>
              </w:rPr>
              <w:t>s</w:t>
            </w:r>
            <w:r w:rsidRPr="007B76B6">
              <w:rPr>
                <w:rFonts w:ascii="Arial" w:hAnsi="Arial" w:cs="Arial"/>
              </w:rPr>
              <w:t>on r = 0.999920; S</w:t>
            </w:r>
            <w:r w:rsidR="0062028E">
              <w:rPr>
                <w:rFonts w:ascii="Arial" w:hAnsi="Arial" w:cs="Arial"/>
              </w:rPr>
              <w:t>pearman ρ = 0.999863 across 14,</w:t>
            </w:r>
            <w:r w:rsidRPr="007B76B6">
              <w:rPr>
                <w:rFonts w:ascii="Arial" w:hAnsi="Arial" w:cs="Arial"/>
              </w:rPr>
              <w:t>196 held-out canonical pairs</w:t>
            </w:r>
          </w:p>
        </w:tc>
      </w:tr>
      <w:tr w:rsidR="00C711C8" w:rsidRPr="007B76B6" w:rsidTr="00B35C64">
        <w:tc>
          <w:tcPr>
            <w:tcW w:w="884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C711C8" w:rsidRPr="007B76B6" w:rsidRDefault="00C711C8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Same-vs-different discrimination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AUROC</w:t>
            </w:r>
            <w:r w:rsidR="00F94AF5" w:rsidRPr="007B76B6">
              <w:rPr>
                <w:rFonts w:ascii="Arial" w:hAnsi="Arial" w:cs="Arial"/>
              </w:rPr>
              <w:t xml:space="preserve"> stability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E87EF2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Base 0.99352; adapted 0.99366; ΔAUROC +0.00014, 95% CI</w:t>
            </w:r>
            <w:r w:rsidR="005D4070">
              <w:rPr>
                <w:rFonts w:ascii="Arial" w:hAnsi="Arial" w:cs="Arial"/>
              </w:rPr>
              <w:t>,</w:t>
            </w:r>
            <w:r w:rsidRPr="007B76B6">
              <w:rPr>
                <w:rFonts w:ascii="Arial" w:hAnsi="Arial" w:cs="Arial"/>
              </w:rPr>
              <w:t xml:space="preserve"> -0.00018 to +0.00054</w:t>
            </w:r>
          </w:p>
        </w:tc>
      </w:tr>
      <w:tr w:rsidR="006A3A41" w:rsidRPr="007B76B6" w:rsidTr="00B35C64">
        <w:tc>
          <w:tcPr>
            <w:tcW w:w="884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:rsidR="006A3A41" w:rsidRPr="007B76B6" w:rsidRDefault="006A3A4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  <w:b/>
              </w:rPr>
              <w:t>Nearest-neighbour preservation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6A3A4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T</w:t>
            </w:r>
            <w:r w:rsidR="004A5747" w:rsidRPr="007B76B6">
              <w:rPr>
                <w:rFonts w:ascii="Arial" w:hAnsi="Arial" w:cs="Arial"/>
              </w:rPr>
              <w:t>op-k neighbour overlap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D813DF" w:rsidP="004549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Mean overlap 99.05</w:t>
            </w:r>
            <w:r>
              <w:t>–</w:t>
            </w:r>
            <w:r w:rsidR="006A3A41" w:rsidRPr="007B76B6">
              <w:rPr>
                <w:rFonts w:ascii="Arial" w:hAnsi="Arial" w:cs="Arial"/>
              </w:rPr>
              <w:t xml:space="preserve">99.35%; </w:t>
            </w:r>
            <w:r w:rsidR="007F6EE0">
              <w:rPr>
                <w:rFonts w:ascii="Arial" w:hAnsi="Arial" w:cs="Arial"/>
              </w:rPr>
              <w:t xml:space="preserve">median overlap </w:t>
            </w:r>
            <w:r w:rsidR="006A3A41" w:rsidRPr="007B76B6">
              <w:rPr>
                <w:rFonts w:ascii="Arial" w:hAnsi="Arial" w:cs="Arial"/>
              </w:rPr>
              <w:t>100% for k = 5, 10, 25 and 50</w:t>
            </w:r>
          </w:p>
        </w:tc>
      </w:tr>
      <w:tr w:rsidR="00E3277C" w:rsidRPr="007B76B6" w:rsidTr="00B35C64">
        <w:tc>
          <w:tcPr>
            <w:tcW w:w="8847" w:type="dxa"/>
            <w:gridSpan w:val="2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E3277C" w:rsidRPr="007B76B6" w:rsidRDefault="00E3277C" w:rsidP="00454900">
            <w:pPr>
              <w:rPr>
                <w:rFonts w:ascii="Arial" w:hAnsi="Arial" w:cs="Arial"/>
                <w:b/>
              </w:rPr>
            </w:pPr>
            <w:r w:rsidRPr="007B76B6">
              <w:rPr>
                <w:rFonts w:ascii="Arial" w:hAnsi="Arial" w:cs="Arial"/>
                <w:b/>
              </w:rPr>
              <w:t>λ = 0.70 clustering stability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05365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Phenotype solution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05365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Base: 6 clusters, 726/155 clustered/noise; adapted: 6 clusters, 724/157 clustered/noise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nil"/>
              <w:right w:val="nil"/>
            </w:tcBorders>
          </w:tcPr>
          <w:p w:rsidR="004A5747" w:rsidRPr="007B76B6" w:rsidRDefault="0005365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Lesion coherence</w:t>
            </w:r>
          </w:p>
        </w:tc>
        <w:tc>
          <w:tcPr>
            <w:tcW w:w="4775" w:type="dxa"/>
            <w:tcBorders>
              <w:top w:val="nil"/>
              <w:left w:val="nil"/>
              <w:bottom w:val="nil"/>
              <w:right w:val="nil"/>
            </w:tcBorders>
          </w:tcPr>
          <w:p w:rsidR="004A5747" w:rsidRPr="007B76B6" w:rsidRDefault="009966A1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 xml:space="preserve">Weighted dominant lesion share: base = 0.8209, </w:t>
            </w:r>
            <w:r w:rsidR="00053651" w:rsidRPr="007B76B6">
              <w:rPr>
                <w:rFonts w:ascii="Arial" w:hAnsi="Arial" w:cs="Arial"/>
              </w:rPr>
              <w:t xml:space="preserve">adapted </w:t>
            </w:r>
            <w:r w:rsidRPr="007B76B6">
              <w:rPr>
                <w:rFonts w:ascii="Arial" w:hAnsi="Arial" w:cs="Arial"/>
              </w:rPr>
              <w:t xml:space="preserve">= </w:t>
            </w:r>
            <w:r w:rsidR="00053651" w:rsidRPr="007B76B6">
              <w:rPr>
                <w:rFonts w:ascii="Arial" w:hAnsi="Arial" w:cs="Arial"/>
              </w:rPr>
              <w:t>0.8218; adapted diagnosis fragmentation 0.000</w:t>
            </w:r>
          </w:p>
        </w:tc>
      </w:tr>
      <w:tr w:rsidR="004A5747" w:rsidRPr="007B76B6" w:rsidTr="00B35C64">
        <w:tc>
          <w:tcPr>
            <w:tcW w:w="4072" w:type="dxa"/>
            <w:tcBorders>
              <w:top w:val="nil"/>
              <w:bottom w:val="single" w:sz="4" w:space="0" w:color="auto"/>
              <w:right w:val="nil"/>
            </w:tcBorders>
          </w:tcPr>
          <w:p w:rsidR="004A5747" w:rsidRPr="007B76B6" w:rsidRDefault="004A5747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Base</w:t>
            </w:r>
            <w:r w:rsidR="00FC74E6" w:rsidRPr="007B76B6">
              <w:rPr>
                <w:rFonts w:ascii="Arial" w:hAnsi="Arial" w:cs="Arial"/>
              </w:rPr>
              <w:t>-vs-adapted agreement</w:t>
            </w:r>
          </w:p>
        </w:tc>
        <w:tc>
          <w:tcPr>
            <w:tcW w:w="47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5747" w:rsidRPr="007B76B6" w:rsidRDefault="00FC74E6" w:rsidP="00454900">
            <w:pPr>
              <w:rPr>
                <w:rFonts w:ascii="Arial" w:hAnsi="Arial" w:cs="Arial"/>
              </w:rPr>
            </w:pPr>
            <w:r w:rsidRPr="007B76B6">
              <w:rPr>
                <w:rFonts w:ascii="Arial" w:hAnsi="Arial" w:cs="Arial"/>
              </w:rPr>
              <w:t>ARI 0.995; NMI 0.994; common non-noise ARI/NMI 1.000/1.000</w:t>
            </w:r>
          </w:p>
        </w:tc>
      </w:tr>
      <w:tr w:rsidR="0036436D" w:rsidRPr="007B76B6" w:rsidTr="00B35C64">
        <w:tc>
          <w:tcPr>
            <w:tcW w:w="884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87335" w:rsidRPr="00687335" w:rsidRDefault="0036436D" w:rsidP="00AC0C9F">
            <w:pPr>
              <w:spacing w:before="100"/>
              <w:rPr>
                <w:rFonts w:ascii="Arial" w:hAnsi="Arial" w:cs="Arial"/>
                <w:sz w:val="20"/>
              </w:rPr>
            </w:pPr>
            <w:r w:rsidRPr="00AC0C9F">
              <w:rPr>
                <w:rFonts w:ascii="Arial" w:hAnsi="Arial" w:cs="Arial"/>
                <w:sz w:val="20"/>
              </w:rPr>
              <w:t xml:space="preserve">ACHD, adult congenital heart disease; ARI, adjusted Rand index; AUROC, area under the receiver-operating-characteristic curve; NMI, normalised mutual information; SD, standard deviation. Δ values are calculated as adapted minus base. Weighted dominant lesion share </w:t>
            </w:r>
            <w:r w:rsidR="00352FBC">
              <w:rPr>
                <w:rFonts w:ascii="Arial" w:hAnsi="Arial" w:cs="Arial"/>
                <w:sz w:val="20"/>
              </w:rPr>
              <w:t>operationalis</w:t>
            </w:r>
            <w:r w:rsidR="00963F4F">
              <w:rPr>
                <w:rFonts w:ascii="Arial" w:hAnsi="Arial" w:cs="Arial"/>
                <w:sz w:val="20"/>
              </w:rPr>
              <w:t>ed</w:t>
            </w:r>
            <w:r w:rsidRPr="00AC0C9F">
              <w:rPr>
                <w:rFonts w:ascii="Arial" w:hAnsi="Arial" w:cs="Arial"/>
                <w:sz w:val="20"/>
              </w:rPr>
              <w:t xml:space="preserve"> lesion coherence.</w:t>
            </w:r>
          </w:p>
        </w:tc>
      </w:tr>
    </w:tbl>
    <w:p w:rsidR="00622BFF" w:rsidRDefault="00622BFF" w:rsidP="00B35C64">
      <w:pPr>
        <w:rPr>
          <w:rFonts w:ascii="Arial" w:hAnsi="Arial" w:cs="Arial"/>
        </w:rPr>
      </w:pPr>
    </w:p>
    <w:p w:rsidR="00BC13FA" w:rsidRPr="00755131" w:rsidRDefault="00BC13FA" w:rsidP="00BC13FA">
      <w:pPr>
        <w:pageBreakBefore/>
        <w:rPr>
          <w:rFonts w:ascii="Arial" w:hAnsi="Arial" w:cs="Arial"/>
          <w:b/>
          <w:sz w:val="24"/>
        </w:rPr>
      </w:pPr>
      <w:r w:rsidRPr="00755131">
        <w:rPr>
          <w:rFonts w:ascii="Arial" w:hAnsi="Arial" w:cs="Arial"/>
          <w:b/>
          <w:sz w:val="24"/>
        </w:rPr>
        <w:lastRenderedPageBreak/>
        <w:t>Supplementary Table 2. Held-out validation variables used in Figure 6.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828"/>
      </w:tblGrid>
      <w:tr w:rsidR="00BC13FA" w:rsidRPr="00D73997" w:rsidTr="002E12D3">
        <w:tc>
          <w:tcPr>
            <w:tcW w:w="5098" w:type="dxa"/>
            <w:tcBorders>
              <w:bottom w:val="single" w:sz="4" w:space="0" w:color="auto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  <w:b/>
              </w:rPr>
            </w:pPr>
            <w:r w:rsidRPr="00D73997">
              <w:rPr>
                <w:rFonts w:ascii="Arial" w:hAnsi="Arial" w:cs="Arial"/>
                <w:b/>
              </w:rPr>
              <w:t>Characteristic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  <w:b/>
              </w:rPr>
            </w:pPr>
            <w:r w:rsidRPr="00D73997">
              <w:rPr>
                <w:rFonts w:ascii="Arial" w:hAnsi="Arial" w:cs="Arial"/>
                <w:b/>
              </w:rPr>
              <w:t>Overall cohort</w:t>
            </w:r>
          </w:p>
        </w:tc>
      </w:tr>
      <w:tr w:rsidR="00BC13FA" w:rsidRPr="00D73997" w:rsidTr="002E12D3">
        <w:tc>
          <w:tcPr>
            <w:tcW w:w="8926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  <w:b/>
              </w:rPr>
            </w:pPr>
            <w:r w:rsidRPr="00D73997">
              <w:rPr>
                <w:rFonts w:ascii="Arial" w:hAnsi="Arial" w:cs="Arial"/>
                <w:b/>
              </w:rPr>
              <w:t>Continuous held-out validators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Cardiac Anxiety Questionnaire score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22.0 [15.0, 30.0]; n = 879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Connor-Davidson Resilience Scale score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29.0 [23.0, 34.0]; n = 872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Impact of Event Scale-Revised score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0.1 [0.0, 0.5]; n = 878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BC13FA" w:rsidRPr="00D73997" w:rsidRDefault="00BC13FA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PROMIS Sleep Disturbance T-score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50.2 [43.9, 55.3]; n = 875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single" w:sz="4" w:space="0" w:color="auto"/>
            </w:tcBorders>
            <w:vAlign w:val="center"/>
          </w:tcPr>
          <w:p w:rsidR="00BC13FA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6-minute walk distance</w:t>
            </w: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557.0 [486.0, 621.0]; n = 547</w:t>
            </w:r>
          </w:p>
        </w:tc>
      </w:tr>
      <w:tr w:rsidR="00205B2B" w:rsidRPr="00D73997" w:rsidTr="002E12D3">
        <w:tc>
          <w:tcPr>
            <w:tcW w:w="8926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  <w:b/>
              </w:rPr>
            </w:pPr>
            <w:r w:rsidRPr="00D73997">
              <w:rPr>
                <w:rFonts w:ascii="Arial" w:hAnsi="Arial" w:cs="Arial"/>
                <w:b/>
              </w:rPr>
              <w:t>Binary held-out clinical/burden validators</w:t>
            </w:r>
          </w:p>
        </w:tc>
      </w:tr>
      <w:tr w:rsidR="00BC13FA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BC13FA" w:rsidRPr="00D73997" w:rsidRDefault="00216ED0" w:rsidP="002E12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NYHA class II</w:t>
            </w:r>
            <w:r>
              <w:t>–</w:t>
            </w:r>
            <w:bookmarkStart w:id="0" w:name="_GoBack"/>
            <w:bookmarkEnd w:id="0"/>
            <w:r w:rsidR="00205B2B" w:rsidRPr="00D73997">
              <w:rPr>
                <w:rFonts w:ascii="Arial" w:hAnsi="Arial" w:cs="Arial"/>
              </w:rPr>
              <w:t>IV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BC13FA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549/846 (64.9%)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Employment impact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192/852 (22.5%)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Employment changes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232/834 (27.8%)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Education impact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161/879 (18.3%)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Education changed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184/879 (20.9%)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Learning difficulties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263/879 (29.9%)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Fell behind in education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305/878 (34.7%)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Assessment difficulties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123/878 (14.0%)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Social involvement difficulties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296/878 (33.7%)</w:t>
            </w:r>
          </w:p>
        </w:tc>
      </w:tr>
      <w:tr w:rsidR="00205B2B" w:rsidRPr="00D73997" w:rsidTr="002E12D3">
        <w:tc>
          <w:tcPr>
            <w:tcW w:w="5098" w:type="dxa"/>
            <w:tcBorders>
              <w:top w:val="nil"/>
              <w:bottom w:val="nil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ED use burden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215/866 (24.8%)</w:t>
            </w:r>
          </w:p>
        </w:tc>
      </w:tr>
      <w:tr w:rsidR="00205B2B" w:rsidRPr="00D73997" w:rsidTr="00BD2ADE">
        <w:tc>
          <w:tcPr>
            <w:tcW w:w="5098" w:type="dxa"/>
            <w:tcBorders>
              <w:top w:val="nil"/>
              <w:bottom w:val="single" w:sz="4" w:space="0" w:color="auto"/>
            </w:tcBorders>
            <w:vAlign w:val="center"/>
          </w:tcPr>
          <w:p w:rsidR="00205B2B" w:rsidRPr="00D73997" w:rsidRDefault="00205B2B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Multiple specialist doctors</w:t>
            </w: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  <w:vAlign w:val="center"/>
          </w:tcPr>
          <w:p w:rsidR="00205B2B" w:rsidRPr="00D73997" w:rsidRDefault="007059D7" w:rsidP="002E12D3">
            <w:pPr>
              <w:rPr>
                <w:rFonts w:ascii="Arial" w:hAnsi="Arial" w:cs="Arial"/>
              </w:rPr>
            </w:pPr>
            <w:r w:rsidRPr="00D73997">
              <w:rPr>
                <w:rFonts w:ascii="Arial" w:hAnsi="Arial" w:cs="Arial"/>
              </w:rPr>
              <w:t>259/869 (29.8%)</w:t>
            </w:r>
          </w:p>
        </w:tc>
      </w:tr>
      <w:tr w:rsidR="00B411DB" w:rsidRPr="00CB1EF1" w:rsidTr="00BD2ADE">
        <w:tc>
          <w:tcPr>
            <w:tcW w:w="8926" w:type="dxa"/>
            <w:gridSpan w:val="2"/>
            <w:tcBorders>
              <w:bottom w:val="nil"/>
            </w:tcBorders>
            <w:vAlign w:val="center"/>
          </w:tcPr>
          <w:p w:rsidR="00B411DB" w:rsidRPr="00CB1EF1" w:rsidRDefault="00B411DB" w:rsidP="002E12D3">
            <w:pPr>
              <w:spacing w:before="100"/>
              <w:rPr>
                <w:rFonts w:ascii="Arial" w:hAnsi="Arial" w:cs="Arial"/>
                <w:sz w:val="20"/>
              </w:rPr>
            </w:pPr>
            <w:r w:rsidRPr="00CB1EF1">
              <w:rPr>
                <w:rFonts w:ascii="Arial" w:hAnsi="Arial" w:cs="Arial"/>
                <w:sz w:val="20"/>
              </w:rPr>
              <w:t>Values are median [IQR]; n, or n/N (%). These variables were held out from clinical-summary generation, encoder adaptation, λ selection, primary clustering, burden-axis construction and subphenotype assignment, and were used only for downstream validation in Figure 6. CAQ, Cardiac Anxiety Questionnaire; CD-RISC, Connor-Davidson Resilience Scale; ED, emergency department; IES-R, Impact of Event Scale-Revised; IQR, interquartile range; NYHA, New York Heart Association; PROMIS, Patient-Reported Outcomes Measurement Information System</w:t>
            </w:r>
          </w:p>
        </w:tc>
      </w:tr>
    </w:tbl>
    <w:p w:rsidR="00BC13FA" w:rsidRDefault="00BC13FA" w:rsidP="00B35C64">
      <w:pPr>
        <w:rPr>
          <w:rFonts w:ascii="Arial" w:hAnsi="Arial" w:cs="Arial"/>
        </w:rPr>
      </w:pPr>
    </w:p>
    <w:p w:rsidR="00697D29" w:rsidRPr="00755131" w:rsidRDefault="00EA0EA4" w:rsidP="004E6603">
      <w:pPr>
        <w:pageBreakBefore/>
        <w:rPr>
          <w:rFonts w:ascii="Arial" w:hAnsi="Arial" w:cs="Arial"/>
          <w:b/>
          <w:sz w:val="24"/>
        </w:rPr>
      </w:pPr>
      <w:r w:rsidRPr="00755131">
        <w:rPr>
          <w:rFonts w:ascii="Arial" w:hAnsi="Arial" w:cs="Arial"/>
          <w:b/>
          <w:sz w:val="24"/>
        </w:rPr>
        <w:lastRenderedPageBreak/>
        <w:t xml:space="preserve">Supplementary Table 3. </w:t>
      </w:r>
      <w:r w:rsidR="0097242F" w:rsidRPr="00755131">
        <w:rPr>
          <w:rFonts w:ascii="Arial" w:hAnsi="Arial" w:cs="Arial"/>
          <w:b/>
          <w:sz w:val="24"/>
        </w:rPr>
        <w:t>λ</w:t>
      </w:r>
      <w:r w:rsidRPr="00755131">
        <w:rPr>
          <w:rFonts w:ascii="Arial" w:hAnsi="Arial" w:cs="Arial"/>
          <w:b/>
          <w:sz w:val="24"/>
        </w:rPr>
        <w:t>-sweep sensitivity for primary phenotype discovery.</w:t>
      </w:r>
    </w:p>
    <w:tbl>
      <w:tblPr>
        <w:tblStyle w:val="TableGrid"/>
        <w:tblW w:w="8931" w:type="dxa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2232"/>
        <w:gridCol w:w="2738"/>
        <w:gridCol w:w="1436"/>
        <w:gridCol w:w="1683"/>
      </w:tblGrid>
      <w:tr w:rsidR="009C0616" w:rsidRPr="001A5188" w:rsidTr="004F4E60"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  <w:b/>
              </w:rPr>
            </w:pPr>
            <w:r w:rsidRPr="001A5188">
              <w:rPr>
                <w:rFonts w:ascii="Arial" w:hAnsi="Arial" w:cs="Arial"/>
                <w:b/>
              </w:rPr>
              <w:t>λ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  <w:b/>
              </w:rPr>
            </w:pPr>
            <w:r w:rsidRPr="001A5188">
              <w:rPr>
                <w:rFonts w:ascii="Arial" w:hAnsi="Arial" w:cs="Arial"/>
                <w:b/>
              </w:rPr>
              <w:t>Primary phenotypes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  <w:b/>
              </w:rPr>
            </w:pPr>
            <w:r w:rsidRPr="001A5188">
              <w:rPr>
                <w:rFonts w:ascii="Arial" w:hAnsi="Arial" w:cs="Arial"/>
                <w:b/>
              </w:rPr>
              <w:t>Assigned / noise-labelled patients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  <w:b/>
              </w:rPr>
            </w:pPr>
            <w:r w:rsidRPr="001A5188">
              <w:rPr>
                <w:rFonts w:ascii="Arial" w:hAnsi="Arial" w:cs="Arial"/>
                <w:b/>
              </w:rPr>
              <w:t>Lesion coherence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  <w:b/>
              </w:rPr>
            </w:pPr>
            <w:r w:rsidRPr="001A5188">
              <w:rPr>
                <w:rFonts w:ascii="Arial" w:hAnsi="Arial" w:cs="Arial"/>
                <w:b/>
              </w:rPr>
              <w:t>Diagnosis fragmentation</w:t>
            </w:r>
          </w:p>
        </w:tc>
      </w:tr>
      <w:tr w:rsidR="009C0616" w:rsidRPr="001A5188" w:rsidTr="004F4E60">
        <w:tc>
          <w:tcPr>
            <w:tcW w:w="842" w:type="dxa"/>
            <w:tcBorders>
              <w:bottom w:val="nil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0.00</w:t>
            </w:r>
          </w:p>
        </w:tc>
        <w:tc>
          <w:tcPr>
            <w:tcW w:w="2232" w:type="dxa"/>
            <w:tcBorders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8</w:t>
            </w:r>
          </w:p>
        </w:tc>
        <w:tc>
          <w:tcPr>
            <w:tcW w:w="2738" w:type="dxa"/>
            <w:tcBorders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612 / 269 (30.5% noise)</w:t>
            </w:r>
          </w:p>
        </w:tc>
        <w:tc>
          <w:tcPr>
            <w:tcW w:w="1436" w:type="dxa"/>
            <w:tcBorders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0.868</w:t>
            </w:r>
          </w:p>
        </w:tc>
        <w:tc>
          <w:tcPr>
            <w:tcW w:w="1683" w:type="dxa"/>
            <w:tcBorders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0.350</w:t>
            </w:r>
          </w:p>
        </w:tc>
      </w:tr>
      <w:tr w:rsidR="009C0616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C0616" w:rsidRPr="001A5188" w:rsidRDefault="009C0616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0.10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8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612 / 269 (30.5%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0.866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C0616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0.348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0.20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8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607 / 274 (31.1%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0.867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0.344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0.30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8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598 / 283 (32.1%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0.863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0.333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0.40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7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706 / 175 (19.9%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0.793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</w:t>
            </w:r>
            <w:r w:rsidR="002B2923" w:rsidRPr="001A5188">
              <w:rPr>
                <w:rFonts w:ascii="Arial" w:hAnsi="Arial" w:cs="Arial"/>
              </w:rPr>
              <w:t>.144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0.50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7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699 / 182 (20.7%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0.794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0.139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0.60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7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688 / 193 (21.9%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0.799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0.137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0.70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724 / 157 (17.8%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0.822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0.000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669 / 212 (24.1%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0.855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0.000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nil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0.90</w:t>
            </w:r>
          </w:p>
        </w:tc>
        <w:tc>
          <w:tcPr>
            <w:tcW w:w="2232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6</w:t>
            </w:r>
          </w:p>
        </w:tc>
        <w:tc>
          <w:tcPr>
            <w:tcW w:w="2738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442 / 439 (49.8% noise)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0.939</w:t>
            </w:r>
          </w:p>
        </w:tc>
        <w:tc>
          <w:tcPr>
            <w:tcW w:w="1683" w:type="dxa"/>
            <w:tcBorders>
              <w:top w:val="nil"/>
              <w:bottom w:val="nil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0.000</w:t>
            </w:r>
          </w:p>
        </w:tc>
      </w:tr>
      <w:tr w:rsidR="009F50F8" w:rsidRPr="001A5188" w:rsidTr="004F4E60">
        <w:tc>
          <w:tcPr>
            <w:tcW w:w="842" w:type="dxa"/>
            <w:tcBorders>
              <w:top w:val="nil"/>
              <w:bottom w:val="single" w:sz="4" w:space="0" w:color="auto"/>
            </w:tcBorders>
            <w:vAlign w:val="center"/>
          </w:tcPr>
          <w:p w:rsidR="009F50F8" w:rsidRPr="001A5188" w:rsidRDefault="009F50F8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1.00</w:t>
            </w:r>
          </w:p>
        </w:tc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3</w:t>
            </w:r>
          </w:p>
        </w:tc>
        <w:tc>
          <w:tcPr>
            <w:tcW w:w="2738" w:type="dxa"/>
            <w:tcBorders>
              <w:top w:val="nil"/>
              <w:bottom w:val="single" w:sz="4" w:space="0" w:color="auto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364 / 517 (58.7% noise)</w:t>
            </w:r>
          </w:p>
        </w:tc>
        <w:tc>
          <w:tcPr>
            <w:tcW w:w="1436" w:type="dxa"/>
            <w:tcBorders>
              <w:top w:val="nil"/>
              <w:bottom w:val="single" w:sz="4" w:space="0" w:color="auto"/>
            </w:tcBorders>
            <w:vAlign w:val="center"/>
          </w:tcPr>
          <w:p w:rsidR="009F50F8" w:rsidRPr="001A5188" w:rsidRDefault="009F46A0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0.179</w:t>
            </w:r>
          </w:p>
        </w:tc>
        <w:tc>
          <w:tcPr>
            <w:tcW w:w="1683" w:type="dxa"/>
            <w:tcBorders>
              <w:top w:val="nil"/>
              <w:bottom w:val="single" w:sz="4" w:space="0" w:color="auto"/>
            </w:tcBorders>
            <w:vAlign w:val="center"/>
          </w:tcPr>
          <w:p w:rsidR="009F50F8" w:rsidRPr="001A5188" w:rsidRDefault="002B2923" w:rsidP="00120282">
            <w:pPr>
              <w:jc w:val="right"/>
              <w:rPr>
                <w:rFonts w:ascii="Arial" w:hAnsi="Arial" w:cs="Arial"/>
              </w:rPr>
            </w:pPr>
            <w:r w:rsidRPr="001A5188">
              <w:rPr>
                <w:rFonts w:ascii="Arial" w:hAnsi="Arial" w:cs="Arial"/>
              </w:rPr>
              <w:t>1.544</w:t>
            </w:r>
          </w:p>
        </w:tc>
      </w:tr>
      <w:tr w:rsidR="001A5188" w:rsidRPr="00CB1EF1" w:rsidTr="004F4E60">
        <w:tc>
          <w:tcPr>
            <w:tcW w:w="8931" w:type="dxa"/>
            <w:gridSpan w:val="5"/>
            <w:tcBorders>
              <w:bottom w:val="nil"/>
            </w:tcBorders>
            <w:vAlign w:val="center"/>
          </w:tcPr>
          <w:p w:rsidR="001A5188" w:rsidRPr="00CB1EF1" w:rsidRDefault="001A5188" w:rsidP="001A5188">
            <w:pPr>
              <w:spacing w:before="100"/>
              <w:rPr>
                <w:rFonts w:ascii="Arial" w:hAnsi="Arial" w:cs="Arial"/>
                <w:sz w:val="20"/>
                <w:szCs w:val="20"/>
              </w:rPr>
            </w:pPr>
            <w:r w:rsidRPr="00CB1EF1">
              <w:rPr>
                <w:rFonts w:ascii="Arial" w:hAnsi="Arial" w:cs="Arial"/>
                <w:sz w:val="20"/>
                <w:szCs w:val="20"/>
              </w:rPr>
              <w:t>λ denotes the weighting of patient-reported outcome content in the semantic representation. The selected operating point was λ = 0.70. Assigned patients are those allocated to a primary HDBSCAN phenotype; noise-labelled patients were retained as density-unstable observations. Lesion coherence is reported as the weighted dominant lesion share. Diagnosis fragmentation quantifies whether the same lesion category was split across multiple dominant primary phenotypes.</w:t>
            </w:r>
          </w:p>
        </w:tc>
      </w:tr>
    </w:tbl>
    <w:p w:rsidR="00CE02DC" w:rsidRDefault="00CE02DC" w:rsidP="00B35C64">
      <w:pPr>
        <w:rPr>
          <w:rFonts w:ascii="Arial" w:hAnsi="Arial" w:cs="Arial"/>
        </w:rPr>
      </w:pPr>
    </w:p>
    <w:p w:rsidR="00541DE9" w:rsidRDefault="00541DE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3C04" w:rsidRPr="00755131" w:rsidRDefault="00D35F3F" w:rsidP="00541DE9">
      <w:pPr>
        <w:rPr>
          <w:rFonts w:ascii="Arial" w:hAnsi="Arial" w:cs="Arial"/>
          <w:b/>
          <w:sz w:val="24"/>
        </w:rPr>
      </w:pPr>
      <w:r w:rsidRPr="00755131">
        <w:rPr>
          <w:rFonts w:ascii="Arial" w:hAnsi="Arial" w:cs="Arial"/>
          <w:b/>
          <w:sz w:val="24"/>
        </w:rPr>
        <w:lastRenderedPageBreak/>
        <w:t>Supplementary Table 4. Full held-out validation model estimates for Figure 6.</w:t>
      </w:r>
    </w:p>
    <w:p w:rsidR="00541DE9" w:rsidRPr="00093E54" w:rsidRDefault="00541DE9" w:rsidP="00541DE9">
      <w:pPr>
        <w:rPr>
          <w:rFonts w:ascii="Arial" w:hAnsi="Arial" w:cs="Arial"/>
          <w:b/>
        </w:rPr>
      </w:pPr>
      <w:r w:rsidRPr="00093E54">
        <w:rPr>
          <w:rFonts w:ascii="Arial" w:hAnsi="Arial" w:cs="Arial"/>
          <w:b/>
        </w:rPr>
        <w:t>Supplementary Table 4a. Continuous held-out validation model estimates.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997"/>
        <w:gridCol w:w="2268"/>
        <w:gridCol w:w="1276"/>
        <w:gridCol w:w="1928"/>
      </w:tblGrid>
      <w:tr w:rsidR="001F0343" w:rsidRPr="00A3356B" w:rsidTr="0050416C"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:rsidR="00C716CC" w:rsidRPr="00A3356B" w:rsidRDefault="00C716CC" w:rsidP="002A5665">
            <w:pPr>
              <w:jc w:val="right"/>
              <w:rPr>
                <w:rFonts w:ascii="Arial" w:hAnsi="Arial" w:cs="Arial"/>
                <w:b/>
              </w:rPr>
            </w:pPr>
            <w:r w:rsidRPr="00A3356B">
              <w:rPr>
                <w:rFonts w:ascii="Arial" w:hAnsi="Arial" w:cs="Arial"/>
                <w:b/>
              </w:rPr>
              <w:t>Outcome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vAlign w:val="center"/>
          </w:tcPr>
          <w:p w:rsidR="00C716CC" w:rsidRPr="00A3356B" w:rsidRDefault="00C716CC" w:rsidP="002A5665">
            <w:pPr>
              <w:jc w:val="right"/>
              <w:rPr>
                <w:rFonts w:ascii="Arial" w:hAnsi="Arial" w:cs="Arial"/>
                <w:b/>
              </w:rPr>
            </w:pPr>
            <w:r w:rsidRPr="00A3356B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B6735" w:rsidRPr="00A3356B" w:rsidRDefault="00626FF1" w:rsidP="002A5665">
            <w:pPr>
              <w:jc w:val="right"/>
              <w:rPr>
                <w:rFonts w:ascii="Arial" w:hAnsi="Arial" w:cs="Arial"/>
                <w:b/>
              </w:rPr>
            </w:pPr>
            <w:r w:rsidRPr="00A3356B">
              <w:rPr>
                <w:rFonts w:ascii="Arial" w:hAnsi="Arial" w:cs="Arial"/>
                <w:b/>
              </w:rPr>
              <w:t>ΔSD [95% CI]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716CC" w:rsidRPr="00A3356B" w:rsidRDefault="00C716CC" w:rsidP="002A5665">
            <w:pPr>
              <w:jc w:val="right"/>
              <w:rPr>
                <w:rFonts w:ascii="Arial" w:hAnsi="Arial" w:cs="Arial"/>
                <w:b/>
              </w:rPr>
            </w:pPr>
            <w:r w:rsidRPr="00A3356B">
              <w:rPr>
                <w:rFonts w:ascii="Arial" w:hAnsi="Arial" w:cs="Arial"/>
                <w:b/>
              </w:rPr>
              <w:t>p value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vAlign w:val="center"/>
          </w:tcPr>
          <w:p w:rsidR="00C716CC" w:rsidRPr="00A3356B" w:rsidRDefault="00DC0B45" w:rsidP="002A5665">
            <w:pPr>
              <w:jc w:val="right"/>
              <w:rPr>
                <w:rFonts w:ascii="Arial" w:hAnsi="Arial" w:cs="Arial"/>
                <w:b/>
              </w:rPr>
            </w:pPr>
            <w:r w:rsidRPr="00A3356B">
              <w:rPr>
                <w:rFonts w:ascii="Arial" w:hAnsi="Arial" w:cs="Arial"/>
                <w:b/>
              </w:rPr>
              <w:t>Adj. R² A / A+S</w:t>
            </w:r>
          </w:p>
        </w:tc>
      </w:tr>
      <w:tr w:rsidR="001F0343" w:rsidRPr="00A3356B" w:rsidTr="0050416C">
        <w:tc>
          <w:tcPr>
            <w:tcW w:w="2547" w:type="dxa"/>
            <w:tcBorders>
              <w:bottom w:val="nil"/>
            </w:tcBorders>
            <w:vAlign w:val="center"/>
          </w:tcPr>
          <w:p w:rsidR="00C716CC" w:rsidRPr="00A3356B" w:rsidRDefault="00EB2141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Cardiac anxiety</w:t>
            </w:r>
          </w:p>
        </w:tc>
        <w:tc>
          <w:tcPr>
            <w:tcW w:w="997" w:type="dxa"/>
            <w:tcBorders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722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0.96 [0.83, 1.08]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&lt;0.001</w:t>
            </w:r>
          </w:p>
        </w:tc>
        <w:tc>
          <w:tcPr>
            <w:tcW w:w="1928" w:type="dxa"/>
            <w:tcBorders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0.072 / 0.296</w:t>
            </w:r>
          </w:p>
        </w:tc>
      </w:tr>
      <w:tr w:rsidR="001F0343" w:rsidRPr="00A3356B" w:rsidTr="0050416C">
        <w:tc>
          <w:tcPr>
            <w:tcW w:w="2547" w:type="dxa"/>
            <w:tcBorders>
              <w:top w:val="nil"/>
              <w:bottom w:val="nil"/>
            </w:tcBorders>
            <w:vAlign w:val="center"/>
          </w:tcPr>
          <w:p w:rsidR="00C716CC" w:rsidRPr="00A3356B" w:rsidRDefault="00EB2141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Resilience</w:t>
            </w:r>
          </w:p>
        </w:tc>
        <w:tc>
          <w:tcPr>
            <w:tcW w:w="997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717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−0.87 [−1.01, −0.74]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&lt;0.0</w:t>
            </w:r>
            <w:r w:rsidR="00F8460B" w:rsidRPr="00A3356B">
              <w:rPr>
                <w:rFonts w:ascii="Arial" w:hAnsi="Arial" w:cs="Arial"/>
              </w:rPr>
              <w:t>0</w:t>
            </w:r>
            <w:r w:rsidRPr="00A3356B">
              <w:rPr>
                <w:rFonts w:ascii="Arial" w:hAnsi="Arial" w:cs="Arial"/>
              </w:rPr>
              <w:t>1</w:t>
            </w:r>
          </w:p>
        </w:tc>
        <w:tc>
          <w:tcPr>
            <w:tcW w:w="192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0.033 / 0.222</w:t>
            </w:r>
          </w:p>
        </w:tc>
      </w:tr>
      <w:tr w:rsidR="001F0343" w:rsidRPr="00A3356B" w:rsidTr="0050416C">
        <w:tc>
          <w:tcPr>
            <w:tcW w:w="2547" w:type="dxa"/>
            <w:tcBorders>
              <w:top w:val="nil"/>
              <w:bottom w:val="nil"/>
            </w:tcBorders>
            <w:vAlign w:val="center"/>
          </w:tcPr>
          <w:p w:rsidR="00C716CC" w:rsidRPr="00A3356B" w:rsidRDefault="00EB2141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Trauma symptoms</w:t>
            </w:r>
          </w:p>
        </w:tc>
        <w:tc>
          <w:tcPr>
            <w:tcW w:w="997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721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0.72 [0.58, 0.85]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&lt;0.0</w:t>
            </w:r>
            <w:r w:rsidR="00F8460B" w:rsidRPr="00A3356B">
              <w:rPr>
                <w:rFonts w:ascii="Arial" w:hAnsi="Arial" w:cs="Arial"/>
              </w:rPr>
              <w:t>0</w:t>
            </w:r>
            <w:r w:rsidRPr="00A3356B">
              <w:rPr>
                <w:rFonts w:ascii="Arial" w:hAnsi="Arial" w:cs="Arial"/>
              </w:rPr>
              <w:t>1</w:t>
            </w:r>
          </w:p>
        </w:tc>
        <w:tc>
          <w:tcPr>
            <w:tcW w:w="192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0.022 / 0.147</w:t>
            </w:r>
          </w:p>
        </w:tc>
      </w:tr>
      <w:tr w:rsidR="001F0343" w:rsidRPr="00A3356B" w:rsidTr="0050416C">
        <w:tc>
          <w:tcPr>
            <w:tcW w:w="2547" w:type="dxa"/>
            <w:tcBorders>
              <w:top w:val="nil"/>
              <w:bottom w:val="nil"/>
            </w:tcBorders>
            <w:vAlign w:val="center"/>
          </w:tcPr>
          <w:p w:rsidR="00C716CC" w:rsidRPr="00A3356B" w:rsidRDefault="00EB2141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Sleep disturbance</w:t>
            </w:r>
          </w:p>
        </w:tc>
        <w:tc>
          <w:tcPr>
            <w:tcW w:w="997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719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0.68 [0.54, 0.82]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&lt;0.0</w:t>
            </w:r>
            <w:r w:rsidR="00F8460B" w:rsidRPr="00A3356B">
              <w:rPr>
                <w:rFonts w:ascii="Arial" w:hAnsi="Arial" w:cs="Arial"/>
              </w:rPr>
              <w:t>0</w:t>
            </w:r>
            <w:r w:rsidRPr="00A3356B">
              <w:rPr>
                <w:rFonts w:ascii="Arial" w:hAnsi="Arial" w:cs="Arial"/>
              </w:rPr>
              <w:t>1</w:t>
            </w:r>
          </w:p>
        </w:tc>
        <w:tc>
          <w:tcPr>
            <w:tcW w:w="1928" w:type="dxa"/>
            <w:tcBorders>
              <w:top w:val="nil"/>
              <w:bottom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0.016 / 0.131</w:t>
            </w:r>
          </w:p>
        </w:tc>
      </w:tr>
      <w:tr w:rsidR="001F0343" w:rsidRPr="00A3356B" w:rsidTr="0050416C">
        <w:tc>
          <w:tcPr>
            <w:tcW w:w="2547" w:type="dxa"/>
            <w:tcBorders>
              <w:top w:val="nil"/>
            </w:tcBorders>
            <w:vAlign w:val="center"/>
          </w:tcPr>
          <w:p w:rsidR="00C716CC" w:rsidRPr="00A3356B" w:rsidRDefault="00EB2141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6-minute walk distance</w:t>
            </w:r>
          </w:p>
        </w:tc>
        <w:tc>
          <w:tcPr>
            <w:tcW w:w="997" w:type="dxa"/>
            <w:tcBorders>
              <w:top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459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−0.48 [−0.65, −0.30]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&lt;0.0</w:t>
            </w:r>
            <w:r w:rsidR="00F8460B" w:rsidRPr="00A3356B">
              <w:rPr>
                <w:rFonts w:ascii="Arial" w:hAnsi="Arial" w:cs="Arial"/>
              </w:rPr>
              <w:t>0</w:t>
            </w:r>
            <w:r w:rsidRPr="00A3356B">
              <w:rPr>
                <w:rFonts w:ascii="Arial" w:hAnsi="Arial" w:cs="Arial"/>
              </w:rPr>
              <w:t>1</w:t>
            </w:r>
          </w:p>
        </w:tc>
        <w:tc>
          <w:tcPr>
            <w:tcW w:w="1928" w:type="dxa"/>
            <w:tcBorders>
              <w:top w:val="nil"/>
            </w:tcBorders>
            <w:vAlign w:val="center"/>
          </w:tcPr>
          <w:p w:rsidR="00C716CC" w:rsidRPr="00A3356B" w:rsidRDefault="00046045" w:rsidP="002A5665">
            <w:pPr>
              <w:jc w:val="right"/>
              <w:rPr>
                <w:rFonts w:ascii="Arial" w:hAnsi="Arial" w:cs="Arial"/>
              </w:rPr>
            </w:pPr>
            <w:r w:rsidRPr="00A3356B">
              <w:rPr>
                <w:rFonts w:ascii="Arial" w:hAnsi="Arial" w:cs="Arial"/>
              </w:rPr>
              <w:t>0.080 / 0.133</w:t>
            </w:r>
          </w:p>
        </w:tc>
      </w:tr>
    </w:tbl>
    <w:p w:rsidR="00CB26E8" w:rsidRDefault="00CB26E8" w:rsidP="00B35C64">
      <w:pPr>
        <w:rPr>
          <w:rFonts w:ascii="Arial" w:hAnsi="Arial" w:cs="Arial"/>
        </w:rPr>
      </w:pPr>
    </w:p>
    <w:p w:rsidR="00CB26E8" w:rsidRPr="00093E54" w:rsidRDefault="00CB26E8" w:rsidP="00B35C64">
      <w:pPr>
        <w:rPr>
          <w:rFonts w:ascii="Arial" w:hAnsi="Arial" w:cs="Arial"/>
          <w:b/>
        </w:rPr>
      </w:pPr>
      <w:r w:rsidRPr="00093E54">
        <w:rPr>
          <w:rFonts w:ascii="Arial" w:hAnsi="Arial" w:cs="Arial"/>
          <w:b/>
        </w:rPr>
        <w:t>Supplementary Table 4b. Binary held-out validation model estimates.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1134"/>
        <w:gridCol w:w="1276"/>
        <w:gridCol w:w="1984"/>
        <w:gridCol w:w="1645"/>
      </w:tblGrid>
      <w:tr w:rsidR="006F4AFB" w:rsidRPr="00120DBC" w:rsidTr="009965DF"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A5665" w:rsidRPr="00064EDA" w:rsidRDefault="00A90EE9" w:rsidP="00E006E8">
            <w:pPr>
              <w:jc w:val="right"/>
              <w:rPr>
                <w:rFonts w:ascii="Arial" w:hAnsi="Arial" w:cs="Arial"/>
                <w:b/>
              </w:rPr>
            </w:pPr>
            <w:r w:rsidRPr="00064EDA">
              <w:rPr>
                <w:rFonts w:ascii="Arial" w:hAnsi="Arial" w:cs="Arial"/>
                <w:b/>
              </w:rPr>
              <w:t>Outcome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A5665" w:rsidRPr="00064EDA" w:rsidRDefault="00A90EE9" w:rsidP="00E006E8">
            <w:pPr>
              <w:jc w:val="right"/>
              <w:rPr>
                <w:rFonts w:ascii="Arial" w:hAnsi="Arial" w:cs="Arial"/>
                <w:b/>
              </w:rPr>
            </w:pPr>
            <w:r w:rsidRPr="00064EDA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A5665" w:rsidRPr="00064EDA" w:rsidRDefault="000D073A" w:rsidP="00E006E8">
            <w:pPr>
              <w:jc w:val="right"/>
              <w:rPr>
                <w:rFonts w:ascii="Arial" w:hAnsi="Arial" w:cs="Arial"/>
                <w:b/>
              </w:rPr>
            </w:pPr>
            <w:r w:rsidRPr="00064EDA">
              <w:rPr>
                <w:rFonts w:ascii="Arial" w:hAnsi="Arial" w:cs="Arial"/>
                <w:b/>
              </w:rPr>
              <w:t>Lower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A5665" w:rsidRPr="00064EDA" w:rsidRDefault="000D073A" w:rsidP="00E006E8">
            <w:pPr>
              <w:jc w:val="right"/>
              <w:rPr>
                <w:rFonts w:ascii="Arial" w:hAnsi="Arial" w:cs="Arial"/>
                <w:b/>
              </w:rPr>
            </w:pPr>
            <w:r w:rsidRPr="00064EDA">
              <w:rPr>
                <w:rFonts w:ascii="Arial" w:hAnsi="Arial" w:cs="Arial"/>
                <w:b/>
              </w:rPr>
              <w:t>Higher %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A5665" w:rsidRPr="00064EDA" w:rsidRDefault="00A90EE9" w:rsidP="00E006E8">
            <w:pPr>
              <w:jc w:val="right"/>
              <w:rPr>
                <w:rFonts w:ascii="Arial" w:hAnsi="Arial" w:cs="Arial"/>
                <w:b/>
              </w:rPr>
            </w:pPr>
            <w:r w:rsidRPr="00064EDA">
              <w:rPr>
                <w:rFonts w:ascii="Arial" w:hAnsi="Arial" w:cs="Arial"/>
                <w:b/>
              </w:rPr>
              <w:t>RD</w:t>
            </w:r>
            <w:r w:rsidR="00F42709">
              <w:rPr>
                <w:rFonts w:ascii="Arial" w:hAnsi="Arial" w:cs="Arial"/>
                <w:b/>
              </w:rPr>
              <w:t>, pp</w:t>
            </w:r>
            <w:r w:rsidRPr="00064EDA">
              <w:rPr>
                <w:rFonts w:ascii="Arial" w:hAnsi="Arial" w:cs="Arial"/>
                <w:b/>
              </w:rPr>
              <w:t xml:space="preserve"> [95% CI]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vAlign w:val="center"/>
          </w:tcPr>
          <w:p w:rsidR="002A5665" w:rsidRPr="00120DBC" w:rsidRDefault="000D073A" w:rsidP="00E006E8">
            <w:pPr>
              <w:jc w:val="right"/>
              <w:rPr>
                <w:rFonts w:ascii="Arial" w:hAnsi="Arial" w:cs="Arial"/>
                <w:b/>
              </w:rPr>
            </w:pPr>
            <w:r w:rsidRPr="00120DBC">
              <w:rPr>
                <w:rFonts w:ascii="Arial" w:hAnsi="Arial" w:cs="Arial"/>
                <w:b/>
              </w:rPr>
              <w:t>AUC A / A+S</w:t>
            </w:r>
          </w:p>
        </w:tc>
      </w:tr>
      <w:tr w:rsidR="006F4AFB" w:rsidRPr="00064EDA" w:rsidTr="009965DF">
        <w:tc>
          <w:tcPr>
            <w:tcW w:w="2268" w:type="dxa"/>
            <w:tcBorders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NYHA class II-IV</w:t>
            </w:r>
          </w:p>
        </w:tc>
        <w:tc>
          <w:tcPr>
            <w:tcW w:w="709" w:type="dxa"/>
            <w:tcBorders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695</w:t>
            </w:r>
          </w:p>
        </w:tc>
        <w:tc>
          <w:tcPr>
            <w:tcW w:w="1134" w:type="dxa"/>
            <w:tcBorders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45.7</w:t>
            </w:r>
          </w:p>
        </w:tc>
        <w:tc>
          <w:tcPr>
            <w:tcW w:w="1276" w:type="dxa"/>
            <w:tcBorders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81.1</w:t>
            </w:r>
          </w:p>
        </w:tc>
        <w:tc>
          <w:tcPr>
            <w:tcW w:w="1984" w:type="dxa"/>
            <w:tcBorders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35.3 [28.3, 41.0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0.735 / 0.822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Employment impact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701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18711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 [24.6</w:t>
            </w:r>
            <w:r w:rsidR="00FB259F" w:rsidRPr="00064ED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35.4</w:t>
            </w:r>
            <w:r w:rsidR="00990A51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0.667 / 0.800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Employment changes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686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37.5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 [16.8, 29.6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0.671 / 0.746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Fell behind in education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32.6 [25.4, 38.8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0.616 / 0.739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Learning difficulties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 [20.4, 32.9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0.638 / 0.734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Education impact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 [14.9, 25.7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0.655 / 0.751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Education changed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 [12.8, 23.7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0.669 / 0.730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Assessment difficulties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 [8.2, 17.9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0.743 / 0.787</w:t>
            </w:r>
          </w:p>
        </w:tc>
      </w:tr>
      <w:tr w:rsidR="006F4AFB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Social involvement difficulties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721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5665" w:rsidRPr="00064EDA" w:rsidRDefault="00F42709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2A5665" w:rsidRPr="00064EDA" w:rsidRDefault="00BF0CA0" w:rsidP="00626FF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 [23.6, 35.5</w:t>
            </w:r>
            <w:r w:rsidR="00FB259F"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2A5665" w:rsidRPr="00064EDA" w:rsidRDefault="002A5665" w:rsidP="00626FF1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0.665 / 0.752</w:t>
            </w:r>
          </w:p>
        </w:tc>
      </w:tr>
      <w:tr w:rsidR="009807BE" w:rsidRPr="00064EDA" w:rsidTr="009965DF">
        <w:tc>
          <w:tcPr>
            <w:tcW w:w="2268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ED use burden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8.7 [2.6, 14.9</w:t>
            </w:r>
            <w:r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0.596 / 0.612</w:t>
            </w:r>
          </w:p>
        </w:tc>
      </w:tr>
      <w:tr w:rsidR="009807BE" w:rsidRPr="00064EDA" w:rsidTr="009965DF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Multiple specialist doctors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713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 [3.8, 16.6</w:t>
            </w:r>
            <w:r w:rsidRPr="00064EDA">
              <w:rPr>
                <w:rFonts w:ascii="Arial" w:hAnsi="Arial" w:cs="Arial"/>
              </w:rPr>
              <w:t>]</w:t>
            </w:r>
          </w:p>
        </w:tc>
        <w:tc>
          <w:tcPr>
            <w:tcW w:w="1645" w:type="dxa"/>
            <w:tcBorders>
              <w:top w:val="nil"/>
              <w:bottom w:val="single" w:sz="4" w:space="0" w:color="auto"/>
            </w:tcBorders>
          </w:tcPr>
          <w:p w:rsidR="009807BE" w:rsidRPr="00064EDA" w:rsidRDefault="009807BE" w:rsidP="009807BE">
            <w:pPr>
              <w:jc w:val="right"/>
              <w:rPr>
                <w:rFonts w:ascii="Arial" w:hAnsi="Arial" w:cs="Arial"/>
              </w:rPr>
            </w:pPr>
            <w:r w:rsidRPr="00064EDA">
              <w:rPr>
                <w:rFonts w:ascii="Arial" w:hAnsi="Arial" w:cs="Arial"/>
              </w:rPr>
              <w:t>0.623 / 0.642</w:t>
            </w:r>
          </w:p>
        </w:tc>
      </w:tr>
      <w:tr w:rsidR="009807BE" w:rsidRPr="00F1421E" w:rsidTr="009965DF">
        <w:tc>
          <w:tcPr>
            <w:tcW w:w="9016" w:type="dxa"/>
            <w:gridSpan w:val="6"/>
            <w:tcBorders>
              <w:bottom w:val="nil"/>
            </w:tcBorders>
          </w:tcPr>
          <w:p w:rsidR="009807BE" w:rsidRPr="00F1421E" w:rsidRDefault="009807BE" w:rsidP="009807BE">
            <w:pPr>
              <w:spacing w:before="100"/>
              <w:rPr>
                <w:rFonts w:ascii="Arial" w:hAnsi="Arial" w:cs="Arial"/>
                <w:sz w:val="20"/>
              </w:rPr>
            </w:pPr>
            <w:r w:rsidRPr="00F1421E">
              <w:rPr>
                <w:rFonts w:ascii="Arial" w:hAnsi="Arial" w:cs="Arial"/>
                <w:sz w:val="20"/>
              </w:rPr>
              <w:t>ΔSD denotes the adjusted higher- versus lower-burden subphenotype difference in standard deviation units. Lower % and Higher % denote adjusted probabilities expressed as percentages. RD, pp denotes the marginal standardised risk difference expressed in percentage points, with simulation-based 95% confidence intervals; p-values were not separately reported for binary outcomes. Models were adjusted for age, sex, remoteness, CHD complexity and primary phenotype cluster. A denotes anatomy-based model; A+S denotes anatomy plus subphenotype model. Adj. R², adjusted coefficient of determination; AUC, area under the receiver-operating-characteristic curve; CHD, congenital heart disease; ED, emergency department; NYHA, New York Heart Association; RD, risk difference.</w:t>
            </w:r>
          </w:p>
        </w:tc>
      </w:tr>
    </w:tbl>
    <w:p w:rsidR="00CB26E8" w:rsidRDefault="00CB26E8" w:rsidP="00B35C64">
      <w:pPr>
        <w:rPr>
          <w:rFonts w:ascii="Arial" w:hAnsi="Arial" w:cs="Arial"/>
        </w:rPr>
      </w:pPr>
    </w:p>
    <w:sectPr w:rsidR="00CB26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C93" w:rsidRDefault="006D0C93" w:rsidP="00D81AF3">
      <w:pPr>
        <w:spacing w:after="0" w:line="240" w:lineRule="auto"/>
      </w:pPr>
      <w:r>
        <w:separator/>
      </w:r>
    </w:p>
  </w:endnote>
  <w:endnote w:type="continuationSeparator" w:id="0">
    <w:p w:rsidR="006D0C93" w:rsidRDefault="006D0C93" w:rsidP="00D8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C93" w:rsidRDefault="006D0C93" w:rsidP="00D81AF3">
      <w:pPr>
        <w:spacing w:after="0" w:line="240" w:lineRule="auto"/>
      </w:pPr>
      <w:r>
        <w:separator/>
      </w:r>
    </w:p>
  </w:footnote>
  <w:footnote w:type="continuationSeparator" w:id="0">
    <w:p w:rsidR="006D0C93" w:rsidRDefault="006D0C93" w:rsidP="00D81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82"/>
    <w:rsid w:val="00002745"/>
    <w:rsid w:val="00015A7B"/>
    <w:rsid w:val="00027C67"/>
    <w:rsid w:val="0003731B"/>
    <w:rsid w:val="00046045"/>
    <w:rsid w:val="00052AC7"/>
    <w:rsid w:val="00053651"/>
    <w:rsid w:val="00064EDA"/>
    <w:rsid w:val="000711BB"/>
    <w:rsid w:val="00071BF0"/>
    <w:rsid w:val="00093E54"/>
    <w:rsid w:val="000B4F61"/>
    <w:rsid w:val="000C7052"/>
    <w:rsid w:val="000D073A"/>
    <w:rsid w:val="000D6393"/>
    <w:rsid w:val="001103C2"/>
    <w:rsid w:val="00120282"/>
    <w:rsid w:val="00120DBC"/>
    <w:rsid w:val="00150D36"/>
    <w:rsid w:val="00160B0D"/>
    <w:rsid w:val="00176F3E"/>
    <w:rsid w:val="0018711B"/>
    <w:rsid w:val="001932C5"/>
    <w:rsid w:val="001A5188"/>
    <w:rsid w:val="001B3C04"/>
    <w:rsid w:val="001F0343"/>
    <w:rsid w:val="001F0D73"/>
    <w:rsid w:val="001F36F3"/>
    <w:rsid w:val="00205B2B"/>
    <w:rsid w:val="00216ED0"/>
    <w:rsid w:val="00252456"/>
    <w:rsid w:val="00273021"/>
    <w:rsid w:val="00280B32"/>
    <w:rsid w:val="00295451"/>
    <w:rsid w:val="002A5665"/>
    <w:rsid w:val="002B2923"/>
    <w:rsid w:val="002B783F"/>
    <w:rsid w:val="002C1711"/>
    <w:rsid w:val="002C51C0"/>
    <w:rsid w:val="002E12D3"/>
    <w:rsid w:val="002F0E0C"/>
    <w:rsid w:val="00352FBC"/>
    <w:rsid w:val="0036436D"/>
    <w:rsid w:val="003908D0"/>
    <w:rsid w:val="003C589D"/>
    <w:rsid w:val="004002A9"/>
    <w:rsid w:val="00406F56"/>
    <w:rsid w:val="0043552F"/>
    <w:rsid w:val="004446D0"/>
    <w:rsid w:val="00444BDA"/>
    <w:rsid w:val="00454900"/>
    <w:rsid w:val="00484126"/>
    <w:rsid w:val="00493181"/>
    <w:rsid w:val="004A5747"/>
    <w:rsid w:val="004B6735"/>
    <w:rsid w:val="004C0F95"/>
    <w:rsid w:val="004E6603"/>
    <w:rsid w:val="004F0C8A"/>
    <w:rsid w:val="004F4E60"/>
    <w:rsid w:val="0050416C"/>
    <w:rsid w:val="00541DE9"/>
    <w:rsid w:val="00542EA5"/>
    <w:rsid w:val="0057281C"/>
    <w:rsid w:val="00592EAC"/>
    <w:rsid w:val="005B0B20"/>
    <w:rsid w:val="005B1E12"/>
    <w:rsid w:val="005B3121"/>
    <w:rsid w:val="005D4070"/>
    <w:rsid w:val="0060418E"/>
    <w:rsid w:val="006162D6"/>
    <w:rsid w:val="0062028E"/>
    <w:rsid w:val="00622BFF"/>
    <w:rsid w:val="00626FF1"/>
    <w:rsid w:val="0063593C"/>
    <w:rsid w:val="00640196"/>
    <w:rsid w:val="00667DB8"/>
    <w:rsid w:val="00687335"/>
    <w:rsid w:val="00687362"/>
    <w:rsid w:val="00697D29"/>
    <w:rsid w:val="006A3A41"/>
    <w:rsid w:val="006A6DFF"/>
    <w:rsid w:val="006C0E92"/>
    <w:rsid w:val="006D0C93"/>
    <w:rsid w:val="006D337C"/>
    <w:rsid w:val="006D5223"/>
    <w:rsid w:val="006E13B8"/>
    <w:rsid w:val="006F4AFB"/>
    <w:rsid w:val="007059D7"/>
    <w:rsid w:val="00743658"/>
    <w:rsid w:val="00745D33"/>
    <w:rsid w:val="00755131"/>
    <w:rsid w:val="007962E9"/>
    <w:rsid w:val="007B76B6"/>
    <w:rsid w:val="007E37BF"/>
    <w:rsid w:val="007E7EAD"/>
    <w:rsid w:val="007F1832"/>
    <w:rsid w:val="007F4413"/>
    <w:rsid w:val="007F6EE0"/>
    <w:rsid w:val="0084518E"/>
    <w:rsid w:val="008618D2"/>
    <w:rsid w:val="008E0084"/>
    <w:rsid w:val="008F2181"/>
    <w:rsid w:val="0090371A"/>
    <w:rsid w:val="00915182"/>
    <w:rsid w:val="00960D37"/>
    <w:rsid w:val="00963F4F"/>
    <w:rsid w:val="0097242F"/>
    <w:rsid w:val="009807BE"/>
    <w:rsid w:val="00990A51"/>
    <w:rsid w:val="009965DF"/>
    <w:rsid w:val="009966A1"/>
    <w:rsid w:val="009A7543"/>
    <w:rsid w:val="009C0616"/>
    <w:rsid w:val="009C75CC"/>
    <w:rsid w:val="009D2EC3"/>
    <w:rsid w:val="009D49A5"/>
    <w:rsid w:val="009E0BEC"/>
    <w:rsid w:val="009F46A0"/>
    <w:rsid w:val="009F50F8"/>
    <w:rsid w:val="00A069D2"/>
    <w:rsid w:val="00A13F96"/>
    <w:rsid w:val="00A246BE"/>
    <w:rsid w:val="00A3356B"/>
    <w:rsid w:val="00A85B9C"/>
    <w:rsid w:val="00A90EE9"/>
    <w:rsid w:val="00AB3C9D"/>
    <w:rsid w:val="00AC0C9F"/>
    <w:rsid w:val="00AC4CB8"/>
    <w:rsid w:val="00AE16BB"/>
    <w:rsid w:val="00AE4B2B"/>
    <w:rsid w:val="00B2063B"/>
    <w:rsid w:val="00B35C64"/>
    <w:rsid w:val="00B411DB"/>
    <w:rsid w:val="00B70B7E"/>
    <w:rsid w:val="00B8115B"/>
    <w:rsid w:val="00B9515C"/>
    <w:rsid w:val="00BB00A9"/>
    <w:rsid w:val="00BC13FA"/>
    <w:rsid w:val="00BD2ADE"/>
    <w:rsid w:val="00BF0CA0"/>
    <w:rsid w:val="00C11684"/>
    <w:rsid w:val="00C310C3"/>
    <w:rsid w:val="00C41E99"/>
    <w:rsid w:val="00C60DB4"/>
    <w:rsid w:val="00C711C8"/>
    <w:rsid w:val="00C716CC"/>
    <w:rsid w:val="00CB1EF1"/>
    <w:rsid w:val="00CB26E8"/>
    <w:rsid w:val="00CC15D8"/>
    <w:rsid w:val="00CD3CCD"/>
    <w:rsid w:val="00CE02DC"/>
    <w:rsid w:val="00D350DC"/>
    <w:rsid w:val="00D35F3F"/>
    <w:rsid w:val="00D55205"/>
    <w:rsid w:val="00D6405D"/>
    <w:rsid w:val="00D73634"/>
    <w:rsid w:val="00D73997"/>
    <w:rsid w:val="00D813DF"/>
    <w:rsid w:val="00D81AF3"/>
    <w:rsid w:val="00D919F7"/>
    <w:rsid w:val="00DA77DE"/>
    <w:rsid w:val="00DB4189"/>
    <w:rsid w:val="00DB4C83"/>
    <w:rsid w:val="00DC0B45"/>
    <w:rsid w:val="00DE0A1A"/>
    <w:rsid w:val="00E006E8"/>
    <w:rsid w:val="00E01CC2"/>
    <w:rsid w:val="00E07CD5"/>
    <w:rsid w:val="00E248AD"/>
    <w:rsid w:val="00E3277C"/>
    <w:rsid w:val="00E35161"/>
    <w:rsid w:val="00E60941"/>
    <w:rsid w:val="00E62882"/>
    <w:rsid w:val="00E729D5"/>
    <w:rsid w:val="00E87EF2"/>
    <w:rsid w:val="00E9588D"/>
    <w:rsid w:val="00E9655E"/>
    <w:rsid w:val="00EA0EA4"/>
    <w:rsid w:val="00EB2141"/>
    <w:rsid w:val="00EE7172"/>
    <w:rsid w:val="00F00A5B"/>
    <w:rsid w:val="00F12E37"/>
    <w:rsid w:val="00F13801"/>
    <w:rsid w:val="00F1421E"/>
    <w:rsid w:val="00F42709"/>
    <w:rsid w:val="00F51558"/>
    <w:rsid w:val="00F5281A"/>
    <w:rsid w:val="00F833C4"/>
    <w:rsid w:val="00F8460B"/>
    <w:rsid w:val="00F94AF5"/>
    <w:rsid w:val="00FA124B"/>
    <w:rsid w:val="00FA1466"/>
    <w:rsid w:val="00FA5DCA"/>
    <w:rsid w:val="00FB259F"/>
    <w:rsid w:val="00FC1D3E"/>
    <w:rsid w:val="00FC74E6"/>
    <w:rsid w:val="00FD0084"/>
    <w:rsid w:val="00FD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D05AA-B0DF-4BB8-AAFA-C4A4547B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4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1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BB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B76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8733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8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F3"/>
  </w:style>
  <w:style w:type="paragraph" w:styleId="Footer">
    <w:name w:val="footer"/>
    <w:basedOn w:val="Normal"/>
    <w:link w:val="FooterChar"/>
    <w:uiPriority w:val="99"/>
    <w:unhideWhenUsed/>
    <w:rsid w:val="00D81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6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1602</cp:revision>
  <cp:lastPrinted>2026-05-13T06:04:00Z</cp:lastPrinted>
  <dcterms:created xsi:type="dcterms:W3CDTF">2026-05-12T02:47:00Z</dcterms:created>
  <dcterms:modified xsi:type="dcterms:W3CDTF">2026-05-19T00:35:00Z</dcterms:modified>
</cp:coreProperties>
</file>