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9AC2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Supporting Information</w:t>
      </w:r>
      <w:bookmarkStart w:id="1" w:name="_GoBack"/>
      <w:bookmarkEnd w:id="1"/>
    </w:p>
    <w:p w14:paraId="0362072F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lang w:val="en-US" w:eastAsia="zh-CN"/>
        </w:rPr>
      </w:pPr>
      <w:r>
        <w:rPr>
          <w:rFonts w:ascii="Times New Roman" w:hAnsi="Times New Roman" w:eastAsia="SimSun" w:cs="Times New Roman"/>
          <w:sz w:val="24"/>
        </w:rPr>
        <w:t>Metabolome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fruits from different years.</w:t>
      </w:r>
      <w:r>
        <w:rPr>
          <w:rFonts w:hint="eastAsia" w:ascii="Times New Roman" w:hAnsi="Times New Roman" w:eastAsia="SimSun" w:cs="Times New Roman"/>
          <w:sz w:val="24"/>
          <w:lang w:val="en-US" w:eastAsia="zh-CN"/>
        </w:rPr>
        <w:t xml:space="preserve"> (A) PCA Analysis of Fruits from 5-year-old and 6-year-old Sea buckthorn Plants. (B) PCA Analysis of Sea buckthorn Fruits from 4-year-old and 5-year-old Grades. (C) OPLSDA analysis of fruits from 5-year-old and 6-year-old sea buckthorn plants. (D) Replacement test between 5-year-old fruits and 6-year-old fruits. (E) OPLSDA analysis of fruits from 4-year and 5-year-old plants. (F) Replacement test between 4-year-old fruits and 5-year-old fruits. (G) Scatter plot showing differences between fruits of 5-year-old and 6-year-old plants. (H) Scatter plot showing differences between fruits of 4-year-old and 5-year-old plants. (I) Annotation of secondary metabolites among the differential metabolites between 5-year-old and 6-year-old fruits. (J) Annotation of secondary metabolites among differential metabolites between 4-year-old and 5-year-old fruits. (K) KEGG pathway annotations of differential metabolites between 5-year-old and 6-year-old fruits. (L) KEGG pathway annotations of differential metabolites between 4-year-old and 5-year-old fruits(</w:t>
      </w:r>
      <w:r>
        <w:rPr>
          <w:rFonts w:ascii="Times New Roman" w:hAnsi="Times New Roman" w:eastAsia="SimSun" w:cs="Times New Roman"/>
          <w:b/>
          <w:bCs/>
          <w:sz w:val="24"/>
        </w:rPr>
        <w:t>Figure S1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); </w:t>
      </w:r>
      <w:r>
        <w:rPr>
          <w:rFonts w:ascii="Times New Roman" w:hAnsi="Times New Roman" w:eastAsia="SimSun" w:cs="Times New Roman"/>
          <w:sz w:val="24"/>
        </w:rPr>
        <w:t>Metabolome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 from different years.</w:t>
      </w:r>
      <w:r>
        <w:rPr>
          <w:rFonts w:hint="eastAsia" w:ascii="Times New Roman" w:hAnsi="Times New Roman" w:eastAsia="SimSun" w:cs="Times New Roman"/>
          <w:sz w:val="24"/>
          <w:lang w:val="en-US" w:eastAsia="zh-CN"/>
        </w:rPr>
        <w:t xml:space="preserve"> (A) PCA Analysis of branches from 5-year-old and 6-year-old Sea buckthorn Plants. (B) PCA Analysis of Sea buckthorn branches from 4-year-old and 5-year-old Grades. (C) OPLSDA analysis of branches from 5-year-old and 6-year-old sea buckthorn plants. (D) Replacement test between 5-year-old branches and 6-year-old branches. (E) OPLSDA analysis of branches from 4-year and 5-year-old plants. (F) Replacement test between 4-year-old branches and 5-year-old branches. (G) Scatter plot showing differences between branches of 5-year-old and 6-year-old plants. (H) Scatter plot showing differences between branches of 4-year-old and 5-year-old plants. (I) Annotation of secondary metabolites among the differential metabolites between 5-year-old and 6-year-old branches. (J) Annotation of secondary metabolites among differential metabolites between 4-year-old and 5-year-old branches. (K) KEGG pathway annotations of differential metabolites between 5-year-old and 6-year-old branches. (L) KEGG pathway annotations of differential metabolites between 4-year-old and 5-year-old branches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(Figure S2); </w:t>
      </w:r>
      <w:r>
        <w:rPr>
          <w:rFonts w:ascii="Times New Roman" w:hAnsi="Times New Roman" w:eastAsia="SimSun" w:cs="Times New Roman"/>
          <w:sz w:val="24"/>
        </w:rPr>
        <w:t>Transcriptome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branches in different year.</w:t>
      </w:r>
      <w:r>
        <w:rPr>
          <w:rFonts w:hint="eastAsia" w:ascii="Times New Roman" w:hAnsi="Times New Roman" w:eastAsia="SimSun" w:cs="Times New Roman"/>
          <w:sz w:val="24"/>
          <w:lang w:val="en-US" w:eastAsia="zh-CN"/>
        </w:rPr>
        <w:t xml:space="preserve"> (A) Venn diagram analysis of differentially expressed genes between 5-year-old and 6-year-old branches. (B) Venn diagram analysis of differentially expressed genes between 4-year-old and 5-year-old branches. (C) PCA analysis of differentially expressed genes between 5-year-old and 6-year-old branches. (D) PCA analysis of differentially expressed genes between 4-year-old and 5-year-old branches. (E) Heatmap analysis of differentially expressed genes between 5-year-old and 6-year-old branches. (F) Heatmap analysis of differentially expressed genes between 4-year-old and 5-year-old branches. (G) KEGG pathway analysis of differentially expressed genes between 5-year-old and 6-year-old branches. (H) KEGG pathway analysis of differentially expressed genes between 4-year-old and 5-year-old branches</w:t>
      </w:r>
      <w:r>
        <w:rPr>
          <w:rFonts w:ascii="Times New Roman" w:hAnsi="Times New Roman" w:eastAsia="SimSun" w:cs="Times New Roman"/>
          <w:b/>
          <w:bCs/>
          <w:sz w:val="24"/>
        </w:rPr>
        <w:t>Figure S3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; </w:t>
      </w:r>
      <w:r>
        <w:rPr>
          <w:rFonts w:ascii="Times New Roman" w:hAnsi="Times New Roman" w:eastAsia="SimSun" w:cs="Times New Roman"/>
          <w:sz w:val="24"/>
        </w:rPr>
        <w:t>WGCNA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branches in different years.</w:t>
      </w:r>
      <w:r>
        <w:rPr>
          <w:rFonts w:hint="eastAsia" w:ascii="Times New Roman" w:hAnsi="Times New Roman" w:eastAsia="SimSun" w:cs="Times New Roman"/>
          <w:sz w:val="24"/>
          <w:lang w:val="en-US" w:eastAsia="zh-CN"/>
        </w:rPr>
        <w:t xml:space="preserve"> (A) WGCNA clustering analysis of genes from 4-year-old and 5-year-old branches. (B) WGCNA clustering analysis of genes from 5-year-old and 6-year-old branches. (C) WGCNA module analysis of genes from 4-year-old and 5-year-old branches. (D) WGCNA module analysis of genes from 5-year-old and 6-year-old branches.</w:t>
      </w:r>
      <w:r>
        <w:rPr>
          <w:rFonts w:ascii="Times New Roman" w:hAnsi="Times New Roman" w:eastAsia="SimSun" w:cs="Times New Roman"/>
          <w:b/>
          <w:bCs/>
          <w:sz w:val="24"/>
        </w:rPr>
        <w:t>Figure S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4; </w:t>
      </w:r>
      <w:r>
        <w:rPr>
          <w:rFonts w:ascii="Times New Roman" w:hAnsi="Times New Roman" w:eastAsia="SimSun" w:cs="Times New Roman"/>
          <w:sz w:val="24"/>
        </w:rPr>
        <w:t>Correlation analysis between the top 10 genes in each module of branches and metabolites of fruit growth</w:t>
      </w:r>
      <w:r>
        <w:rPr>
          <w:rFonts w:ascii="Times New Roman" w:hAnsi="Times New Roman" w:eastAsia="SimSun" w:cs="Times New Roman"/>
          <w:b/>
          <w:bCs/>
          <w:sz w:val="24"/>
        </w:rPr>
        <w:t>Figure S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5; </w:t>
      </w:r>
      <w:r>
        <w:rPr>
          <w:rFonts w:ascii="Times New Roman" w:hAnsi="Times New Roman" w:eastAsia="SimSun" w:cs="Times New Roman"/>
          <w:sz w:val="24"/>
        </w:rPr>
        <w:t xml:space="preserve">Comparison of physical properties and color indices of </w:t>
      </w:r>
      <w:r>
        <w:rPr>
          <w:rFonts w:ascii="Times New Roman" w:hAnsi="Times New Roman" w:eastAsia="SimSun" w:cs="Times New Roman"/>
          <w:i/>
          <w:iCs/>
          <w:sz w:val="24"/>
        </w:rPr>
        <w:t>Hippophae rhamnoides</w:t>
      </w:r>
      <w:r>
        <w:rPr>
          <w:rFonts w:ascii="Times New Roman" w:hAnsi="Times New Roman" w:eastAsia="SimSun" w:cs="Times New Roman"/>
          <w:sz w:val="24"/>
        </w:rPr>
        <w:t xml:space="preserve"> fruits at different tree ages (n=5)</w:t>
      </w:r>
      <w:r>
        <w:rPr>
          <w:rFonts w:ascii="Times New Roman" w:hAnsi="Times New Roman" w:eastAsia="SimSun" w:cs="Times New Roman"/>
          <w:b/>
          <w:bCs/>
          <w:sz w:val="24"/>
        </w:rPr>
        <w:t>Table S1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; </w:t>
      </w:r>
      <w:r>
        <w:rPr>
          <w:rFonts w:ascii="Times New Roman" w:hAnsi="Times New Roman" w:eastAsia="SimSun" w:cs="Times New Roman"/>
          <w:sz w:val="24"/>
        </w:rPr>
        <w:t xml:space="preserve">KEGG pathway enrichment analysis of differentially metabolites in </w:t>
      </w:r>
      <w:r>
        <w:rPr>
          <w:rFonts w:ascii="Times New Roman" w:hAnsi="Times New Roman" w:eastAsia="SimSun" w:cs="Times New Roman"/>
          <w:i/>
          <w:iCs/>
          <w:sz w:val="24"/>
        </w:rPr>
        <w:t>Hippophae rhamnoides</w:t>
      </w:r>
      <w:r>
        <w:rPr>
          <w:rFonts w:ascii="Times New Roman" w:hAnsi="Times New Roman" w:eastAsia="SimSun" w:cs="Times New Roman"/>
          <w:sz w:val="24"/>
        </w:rPr>
        <w:t xml:space="preserve"> fruits at different tree ages</w:t>
      </w:r>
      <w:r>
        <w:rPr>
          <w:rFonts w:ascii="Times New Roman" w:hAnsi="Times New Roman" w:eastAsia="SimSun" w:cs="Times New Roman"/>
          <w:b/>
          <w:bCs/>
          <w:sz w:val="24"/>
        </w:rPr>
        <w:t>Table S2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; </w:t>
      </w:r>
      <w:r>
        <w:rPr>
          <w:rFonts w:ascii="Times New Roman" w:hAnsi="Times New Roman" w:eastAsia="SimSun" w:cs="Times New Roman"/>
          <w:sz w:val="24"/>
        </w:rPr>
        <w:t>Standard product information</w:t>
      </w:r>
      <w:r>
        <w:rPr>
          <w:rFonts w:ascii="Times New Roman" w:hAnsi="Times New Roman" w:eastAsia="SimSun" w:cs="Times New Roman"/>
          <w:b/>
          <w:bCs/>
          <w:sz w:val="24"/>
        </w:rPr>
        <w:t>Table S3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; </w:t>
      </w:r>
      <w:r>
        <w:rPr>
          <w:rFonts w:ascii="Times New Roman" w:hAnsi="Times New Roman" w:eastAsia="SimSun" w:cs="Times New Roman"/>
          <w:bCs/>
          <w:sz w:val="24"/>
        </w:rPr>
        <w:t>Gradient concentration information of anthocyanin mixed standard</w:t>
      </w:r>
      <w:r>
        <w:rPr>
          <w:rFonts w:ascii="Times New Roman" w:hAnsi="Times New Roman" w:eastAsia="SimSun" w:cs="Times New Roman"/>
          <w:b/>
          <w:bCs/>
          <w:sz w:val="24"/>
        </w:rPr>
        <w:t>Table S4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 xml:space="preserve">; </w:t>
      </w:r>
      <w:r>
        <w:rPr>
          <w:rFonts w:ascii="Times New Roman" w:hAnsi="Times New Roman" w:eastAsia="SimSun" w:cs="Times New Roman"/>
          <w:bCs/>
          <w:sz w:val="24"/>
        </w:rPr>
        <w:t>Gradient concentration information of mixed standards of carotenoids</w:t>
      </w:r>
      <w:r>
        <w:rPr>
          <w:rFonts w:ascii="Times New Roman" w:hAnsi="Times New Roman" w:eastAsia="SimSun" w:cs="Times New Roman"/>
          <w:b/>
          <w:bCs/>
          <w:sz w:val="24"/>
        </w:rPr>
        <w:t>Table S5</w:t>
      </w:r>
      <w:r>
        <w:rPr>
          <w:rFonts w:hint="eastAsia" w:ascii="Times New Roman" w:hAnsi="Times New Roman" w:eastAsia="SimSun" w:cs="Times New Roman"/>
          <w:b/>
          <w:bCs/>
          <w:sz w:val="24"/>
          <w:lang w:val="en-US" w:eastAsia="zh-CN"/>
        </w:rPr>
        <w:t>.</w:t>
      </w:r>
    </w:p>
    <w:p w14:paraId="0B05AD55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SimSun" w:cs="Times New Roman"/>
          <w:sz w:val="24"/>
        </w:rPr>
        <w:drawing>
          <wp:inline distT="0" distB="0" distL="114300" distR="114300">
            <wp:extent cx="5276850" cy="67494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B257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Figure S1</w:t>
      </w:r>
      <w:r>
        <w:rPr>
          <w:rFonts w:ascii="Times New Roman" w:hAnsi="Times New Roman" w:eastAsia="SimSun" w:cs="Times New Roman"/>
          <w:sz w:val="24"/>
        </w:rPr>
        <w:t>. Metabolome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fruits from different years.</w:t>
      </w:r>
    </w:p>
    <w:p w14:paraId="71C42D7F">
      <w:pPr>
        <w:rPr>
          <w:rFonts w:ascii="Times New Roman" w:hAnsi="Times New Roman" w:eastAsia="SimSun" w:cs="Times New Roman"/>
          <w:sz w:val="24"/>
        </w:rPr>
      </w:pPr>
    </w:p>
    <w:p w14:paraId="41C482A0">
      <w:pPr>
        <w:widowControl/>
        <w:spacing w:line="480" w:lineRule="auto"/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drawing>
          <wp:inline distT="0" distB="0" distL="114300" distR="114300">
            <wp:extent cx="5266055" cy="5950585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7FCF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Figure S2</w:t>
      </w:r>
      <w:r>
        <w:rPr>
          <w:rFonts w:ascii="Times New Roman" w:hAnsi="Times New Roman" w:eastAsia="SimSun" w:cs="Times New Roman"/>
          <w:sz w:val="24"/>
        </w:rPr>
        <w:t>. Metabolome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 from different years.</w:t>
      </w:r>
    </w:p>
    <w:p w14:paraId="0BAC9600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5645A177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22143D21">
      <w:pPr>
        <w:widowControl/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drawing>
          <wp:inline distT="0" distB="0" distL="114300" distR="114300">
            <wp:extent cx="5267325" cy="49060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B60C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Figure S3</w:t>
      </w:r>
      <w:r>
        <w:rPr>
          <w:rFonts w:ascii="Times New Roman" w:hAnsi="Times New Roman" w:eastAsia="SimSun" w:cs="Times New Roman"/>
          <w:sz w:val="24"/>
        </w:rPr>
        <w:t>. Transcriptome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branches in different year.</w:t>
      </w:r>
    </w:p>
    <w:p w14:paraId="2360B7CE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44FE438B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669D9D77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3AD0DD26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02C96158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1768735D">
      <w:pPr>
        <w:widowControl/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drawing>
          <wp:inline distT="0" distB="0" distL="114300" distR="114300">
            <wp:extent cx="5287010" cy="3215640"/>
            <wp:effectExtent l="0" t="0" r="889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D678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Figure S4</w:t>
      </w:r>
      <w:r>
        <w:rPr>
          <w:rFonts w:ascii="Times New Roman" w:hAnsi="Times New Roman" w:eastAsia="SimSun" w:cs="Times New Roman"/>
          <w:sz w:val="24"/>
        </w:rPr>
        <w:t>. WGCNA analysis of sea</w:t>
      </w:r>
      <w:r>
        <w:rPr>
          <w:rFonts w:hint="eastAsia" w:ascii="Times New Roman" w:hAnsi="Times New Roman" w:eastAsia="SimSun" w:cs="Times New Roman"/>
          <w:sz w:val="24"/>
        </w:rPr>
        <w:t xml:space="preserve"> </w:t>
      </w:r>
      <w:r>
        <w:rPr>
          <w:rFonts w:ascii="Times New Roman" w:hAnsi="Times New Roman" w:eastAsia="SimSun" w:cs="Times New Roman"/>
          <w:sz w:val="24"/>
        </w:rPr>
        <w:t>buckthorn branches in different years.</w:t>
      </w:r>
    </w:p>
    <w:p w14:paraId="54E5D874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2180AC4D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2F3EFA1C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7442244F">
      <w:pPr>
        <w:widowControl/>
        <w:spacing w:line="480" w:lineRule="auto"/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drawing>
          <wp:inline distT="0" distB="0" distL="114300" distR="114300">
            <wp:extent cx="5257800" cy="5116830"/>
            <wp:effectExtent l="0" t="0" r="0" b="12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B564">
      <w:pPr>
        <w:rPr>
          <w:rFonts w:hint="eastAsia"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 xml:space="preserve">Figure S5. </w:t>
      </w:r>
      <w:r>
        <w:rPr>
          <w:rFonts w:ascii="Times New Roman" w:hAnsi="Times New Roman" w:eastAsia="SimSun" w:cs="Times New Roman"/>
          <w:sz w:val="24"/>
        </w:rPr>
        <w:t>Correlation analysis between the top 10 genes in each module of branches and metabolites of fruit growth</w:t>
      </w:r>
      <w:r>
        <w:rPr>
          <w:rFonts w:hint="eastAsia" w:ascii="Times New Roman" w:hAnsi="Times New Roman" w:eastAsia="SimSun" w:cs="Times New Roman"/>
          <w:sz w:val="24"/>
        </w:rPr>
        <w:t>.</w:t>
      </w:r>
    </w:p>
    <w:p w14:paraId="6051A9B4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br w:type="page"/>
      </w:r>
      <w:r>
        <w:rPr>
          <w:rFonts w:ascii="Times New Roman" w:hAnsi="Times New Roman" w:eastAsia="SimSun" w:cs="Times New Roman"/>
          <w:b/>
          <w:bCs/>
          <w:sz w:val="24"/>
        </w:rPr>
        <w:t>Table S1</w:t>
      </w:r>
      <w:r>
        <w:rPr>
          <w:rFonts w:ascii="Times New Roman" w:hAnsi="Times New Roman" w:eastAsia="SimSun" w:cs="Times New Roman"/>
          <w:sz w:val="24"/>
        </w:rPr>
        <w:t xml:space="preserve">. Comparison of physical properties and color indices of </w:t>
      </w:r>
      <w:r>
        <w:rPr>
          <w:rFonts w:ascii="Times New Roman" w:hAnsi="Times New Roman" w:eastAsia="SimSun" w:cs="Times New Roman"/>
          <w:i/>
          <w:iCs/>
          <w:sz w:val="24"/>
        </w:rPr>
        <w:t>Hippophae rhamnoides</w:t>
      </w:r>
      <w:r>
        <w:rPr>
          <w:rFonts w:ascii="Times New Roman" w:hAnsi="Times New Roman" w:eastAsia="SimSun" w:cs="Times New Roman"/>
          <w:sz w:val="24"/>
        </w:rPr>
        <w:t xml:space="preserve"> fruits at different tree ages (n=5).</w:t>
      </w:r>
    </w:p>
    <w:tbl>
      <w:tblPr>
        <w:tblStyle w:val="15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1362"/>
        <w:gridCol w:w="1362"/>
        <w:gridCol w:w="1364"/>
        <w:gridCol w:w="1065"/>
        <w:gridCol w:w="1229"/>
      </w:tblGrid>
      <w:tr w14:paraId="4F9EC4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15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7C26388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Item</w:t>
            </w:r>
          </w:p>
        </w:tc>
        <w:tc>
          <w:tcPr>
            <w:tcW w:w="82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040D72B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4F</w:t>
            </w:r>
          </w:p>
        </w:tc>
        <w:tc>
          <w:tcPr>
            <w:tcW w:w="82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043CCB4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5F</w:t>
            </w:r>
          </w:p>
        </w:tc>
        <w:tc>
          <w:tcPr>
            <w:tcW w:w="82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86DA43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6F</w:t>
            </w:r>
          </w:p>
        </w:tc>
        <w:tc>
          <w:tcPr>
            <w:tcW w:w="6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38E668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SEM</w:t>
            </w:r>
          </w:p>
        </w:tc>
        <w:tc>
          <w:tcPr>
            <w:tcW w:w="74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53F911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</w:rPr>
              <w:t>P</w:t>
            </w:r>
          </w:p>
        </w:tc>
      </w:tr>
      <w:tr w14:paraId="038B1B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115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D550EB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Length (mm)</w:t>
            </w:r>
          </w:p>
        </w:tc>
        <w:tc>
          <w:tcPr>
            <w:tcW w:w="82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A4FED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10.74b</w:t>
            </w:r>
          </w:p>
        </w:tc>
        <w:tc>
          <w:tcPr>
            <w:tcW w:w="82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6E628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13.32a</w:t>
            </w:r>
          </w:p>
        </w:tc>
        <w:tc>
          <w:tcPr>
            <w:tcW w:w="82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5B3BD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13.54a</w:t>
            </w:r>
          </w:p>
        </w:tc>
        <w:tc>
          <w:tcPr>
            <w:tcW w:w="64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657D2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0.386</w:t>
            </w:r>
          </w:p>
        </w:tc>
        <w:tc>
          <w:tcPr>
            <w:tcW w:w="74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926A7D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＜0.001</w:t>
            </w:r>
          </w:p>
        </w:tc>
      </w:tr>
      <w:tr w14:paraId="091616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6C86DE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Width (mm)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00F73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7.74c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E08EE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8.23b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7DA0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8.48a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5518C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0.113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DD1EA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＜0.001</w:t>
            </w:r>
          </w:p>
        </w:tc>
      </w:tr>
      <w:tr w14:paraId="7D587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15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66DE96EB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Weight(g)</w:t>
            </w:r>
          </w:p>
        </w:tc>
        <w:tc>
          <w:tcPr>
            <w:tcW w:w="82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7F1E2535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0.38b</w:t>
            </w:r>
          </w:p>
        </w:tc>
        <w:tc>
          <w:tcPr>
            <w:tcW w:w="82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6564F44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0.51a</w:t>
            </w:r>
          </w:p>
        </w:tc>
        <w:tc>
          <w:tcPr>
            <w:tcW w:w="8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78C754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0.54a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C6D6307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0.017</w:t>
            </w:r>
          </w:p>
        </w:tc>
        <w:tc>
          <w:tcPr>
            <w:tcW w:w="7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A5BC190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＜0.001</w:t>
            </w:r>
          </w:p>
        </w:tc>
      </w:tr>
    </w:tbl>
    <w:p w14:paraId="415D9914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t>SEM, the standard error of the mean; Different lowercase letters (a, b, c) in the same row indicate significant differences at the 0.05 level</w:t>
      </w:r>
      <w:r>
        <w:rPr>
          <w:rFonts w:hint="eastAsia" w:ascii="Times New Roman" w:hAnsi="Times New Roman" w:eastAsia="SimSun" w:cs="Times New Roman"/>
          <w:sz w:val="24"/>
        </w:rPr>
        <w:t>.</w:t>
      </w:r>
      <w:r>
        <w:rPr>
          <w:rFonts w:ascii="Times New Roman" w:hAnsi="Times New Roman" w:eastAsia="SimSun" w:cs="Times New Roman"/>
          <w:sz w:val="24"/>
        </w:rPr>
        <w:cr/>
      </w:r>
    </w:p>
    <w:p w14:paraId="7D6C1C8A">
      <w:pPr>
        <w:spacing w:line="480" w:lineRule="auto"/>
        <w:rPr>
          <w:rFonts w:ascii="Times New Roman" w:hAnsi="Times New Roman" w:eastAsia="SimSun" w:cs="Times New Roman"/>
          <w:sz w:val="24"/>
        </w:rPr>
      </w:pPr>
    </w:p>
    <w:p w14:paraId="3BB6D535"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4D7B1B9B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Table S2</w:t>
      </w:r>
      <w:r>
        <w:rPr>
          <w:rFonts w:ascii="Times New Roman" w:hAnsi="Times New Roman" w:eastAsia="SimSun" w:cs="Times New Roman"/>
          <w:sz w:val="24"/>
        </w:rPr>
        <w:t xml:space="preserve">. KEGG pathway enrichment analysis of differentially metabolites in </w:t>
      </w:r>
      <w:r>
        <w:rPr>
          <w:rFonts w:ascii="Times New Roman" w:hAnsi="Times New Roman" w:eastAsia="SimSun" w:cs="Times New Roman"/>
          <w:i/>
          <w:iCs/>
          <w:sz w:val="24"/>
        </w:rPr>
        <w:t>Hippophae rhamnoides</w:t>
      </w:r>
      <w:r>
        <w:rPr>
          <w:rFonts w:ascii="Times New Roman" w:hAnsi="Times New Roman" w:eastAsia="SimSun" w:cs="Times New Roman"/>
          <w:sz w:val="24"/>
        </w:rPr>
        <w:t xml:space="preserve"> fruits at different tree ages.</w:t>
      </w:r>
    </w:p>
    <w:tbl>
      <w:tblPr>
        <w:tblStyle w:val="15"/>
        <w:tblW w:w="5000" w:type="pct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4225"/>
        <w:gridCol w:w="2337"/>
        <w:gridCol w:w="1561"/>
        <w:gridCol w:w="2108"/>
        <w:gridCol w:w="2309"/>
      </w:tblGrid>
      <w:tr w14:paraId="619281C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50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F70B0F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bookmarkStart w:id="0" w:name="OLE_LINK5"/>
            <w:r>
              <w:rPr>
                <w:rFonts w:ascii="Times New Roman" w:hAnsi="Times New Roman" w:eastAsia="SimSun" w:cs="Times New Roman"/>
                <w:sz w:val="24"/>
              </w:rPr>
              <w:t>Pathway</w:t>
            </w:r>
            <w:bookmarkEnd w:id="0"/>
          </w:p>
        </w:tc>
        <w:tc>
          <w:tcPr>
            <w:tcW w:w="151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753220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Description</w:t>
            </w:r>
          </w:p>
        </w:tc>
        <w:tc>
          <w:tcPr>
            <w:tcW w:w="83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84BCB5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Class</w:t>
            </w:r>
          </w:p>
        </w:tc>
        <w:tc>
          <w:tcPr>
            <w:tcW w:w="55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EC070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Total</w:t>
            </w:r>
          </w:p>
        </w:tc>
        <w:tc>
          <w:tcPr>
            <w:tcW w:w="75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967B02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Differential</w:t>
            </w:r>
          </w:p>
          <w:p w14:paraId="31BFF92D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metabolites</w:t>
            </w:r>
          </w:p>
        </w:tc>
        <w:tc>
          <w:tcPr>
            <w:tcW w:w="82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63ECA8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Compounds (dem)</w:t>
            </w:r>
          </w:p>
        </w:tc>
      </w:tr>
      <w:tr w14:paraId="0DB06A6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50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A31C6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ath01110</w:t>
            </w:r>
          </w:p>
        </w:tc>
        <w:tc>
          <w:tcPr>
            <w:tcW w:w="151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41477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Biosynthesis of secondary metabolites - Arabidopsis thaliana (thale cress)</w:t>
            </w:r>
          </w:p>
        </w:tc>
        <w:tc>
          <w:tcPr>
            <w:tcW w:w="83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A40CD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Global and overview maps</w:t>
            </w:r>
          </w:p>
        </w:tc>
        <w:tc>
          <w:tcPr>
            <w:tcW w:w="55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74586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2335</w:t>
            </w:r>
          </w:p>
        </w:tc>
        <w:tc>
          <w:tcPr>
            <w:tcW w:w="75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265CE4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  <w:tc>
          <w:tcPr>
            <w:tcW w:w="8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759994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C05904; C01514; C00389; C05908; C05905; C05625; C05903</w:t>
            </w:r>
          </w:p>
        </w:tc>
      </w:tr>
      <w:tr w14:paraId="67E49D9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192DD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ath01100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83305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Metabolic pathways - Arabidopsis thaliana (thale cress)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3D8EC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Global and overview maps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81F32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3190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9C069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BBBB9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C05904; C01514; C00389; C05905; C05625; C05903</w:t>
            </w:r>
          </w:p>
        </w:tc>
      </w:tr>
      <w:tr w14:paraId="6934BC9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CF913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ath00941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F8DFC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Flavonoid biosynthesis - Arabidopsis thaliana (thale cress)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6814D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Biosynthesis of other secondary metabolites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8AA14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72175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9C945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C05904; C01514; C00389; C05908; C05905; C05903</w:t>
            </w:r>
          </w:p>
        </w:tc>
      </w:tr>
      <w:tr w14:paraId="15CEC4F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0BE46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ath00944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B3472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Flavone and flavonol biosynthesis - Arabidopsis thaliana (thale cress)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53785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Biosynthesis of other secondary metabolites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CF535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1F018D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256D8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C01514; C00389; C05625; C05903</w:t>
            </w:r>
          </w:p>
        </w:tc>
      </w:tr>
      <w:tr w14:paraId="58BBA07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50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21F8764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ath00942</w:t>
            </w:r>
          </w:p>
        </w:tc>
        <w:tc>
          <w:tcPr>
            <w:tcW w:w="151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545283ED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Anthocyanin biosynthesis - Arabidopsis thaliana (thale cress)</w:t>
            </w:r>
          </w:p>
        </w:tc>
        <w:tc>
          <w:tcPr>
            <w:tcW w:w="83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70BD27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Biosynthesis of other secondary metabolites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D8FE4E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66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0A43BD8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DB603F1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C05904; C05908; C05905</w:t>
            </w:r>
          </w:p>
        </w:tc>
      </w:tr>
    </w:tbl>
    <w:p w14:paraId="5676DE26">
      <w:pPr>
        <w:rPr>
          <w:rFonts w:ascii="Times New Roman" w:hAnsi="Times New Roman" w:eastAsia="SimSun" w:cs="Times New Roman"/>
          <w:sz w:val="18"/>
          <w:szCs w:val="18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720" w:num="1"/>
          <w:docGrid w:type="lines" w:linePitch="312" w:charSpace="0"/>
        </w:sectPr>
      </w:pPr>
    </w:p>
    <w:p w14:paraId="640CB381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Table S3</w:t>
      </w:r>
      <w:r>
        <w:rPr>
          <w:rFonts w:ascii="Times New Roman" w:hAnsi="Times New Roman" w:eastAsia="SimSun" w:cs="Times New Roman"/>
          <w:sz w:val="24"/>
        </w:rPr>
        <w:t>. Standard product information.</w:t>
      </w:r>
    </w:p>
    <w:tbl>
      <w:tblPr>
        <w:tblStyle w:val="15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00"/>
        <w:gridCol w:w="2836"/>
        <w:gridCol w:w="1728"/>
        <w:gridCol w:w="2042"/>
      </w:tblGrid>
      <w:tr w14:paraId="54685A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102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D7D7192">
            <w:pPr>
              <w:jc w:val="center"/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Classification</w:t>
            </w:r>
          </w:p>
        </w:tc>
        <w:tc>
          <w:tcPr>
            <w:tcW w:w="170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2162269">
            <w:pPr>
              <w:jc w:val="center"/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Name</w:t>
            </w:r>
          </w:p>
        </w:tc>
        <w:tc>
          <w:tcPr>
            <w:tcW w:w="104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7F1D8CA">
            <w:pPr>
              <w:jc w:val="center"/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CAS number</w:t>
            </w:r>
          </w:p>
        </w:tc>
        <w:tc>
          <w:tcPr>
            <w:tcW w:w="122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891093E">
            <w:pPr>
              <w:jc w:val="center"/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Molecular formula</w:t>
            </w:r>
          </w:p>
        </w:tc>
      </w:tr>
      <w:tr w14:paraId="513891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E37674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Anthocyanin</w:t>
            </w:r>
          </w:p>
        </w:tc>
        <w:tc>
          <w:tcPr>
            <w:tcW w:w="170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AEBEC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Malvidin</w:t>
            </w:r>
          </w:p>
        </w:tc>
        <w:tc>
          <w:tcPr>
            <w:tcW w:w="104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8FF3D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643-84-5</w:t>
            </w:r>
          </w:p>
        </w:tc>
        <w:tc>
          <w:tcPr>
            <w:tcW w:w="122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D07F0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C17H15ClO7</w:t>
            </w:r>
          </w:p>
        </w:tc>
      </w:tr>
      <w:tr w14:paraId="526161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E62D2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7C68A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Pelargonidin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2843C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134-04-3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31F0A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C15H11ClO5</w:t>
            </w:r>
          </w:p>
        </w:tc>
      </w:tr>
      <w:tr w14:paraId="1AC06B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3F826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BA9F0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Delphinidin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6A61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528-53-0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D181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C15H11ClO7</w:t>
            </w:r>
          </w:p>
        </w:tc>
      </w:tr>
      <w:tr w14:paraId="24807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76E09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5AF53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Peonidin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5EE95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134-01-0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5E0B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C16H13ClO6</w:t>
            </w:r>
          </w:p>
        </w:tc>
      </w:tr>
      <w:tr w14:paraId="54AACC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6194A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3F3A0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Cyanidin-3-galactoside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76CFF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27661-36-5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0A2DB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C21H21ClO11</w:t>
            </w:r>
          </w:p>
        </w:tc>
      </w:tr>
      <w:tr w14:paraId="002856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A9219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C24E4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Isorhamnetin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EA7C7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480-19-3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6B31A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C16H12O7</w:t>
            </w:r>
          </w:p>
        </w:tc>
      </w:tr>
      <w:tr w14:paraId="30957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F1100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93021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Cyanidin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A9B5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528-58-5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BE66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C15H11ClO6</w:t>
            </w:r>
          </w:p>
        </w:tc>
      </w:tr>
      <w:tr w14:paraId="54B774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86F57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314D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Cyanidin-3,5-diglucoside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593D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2611-67-8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590E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C27H31ClO16</w:t>
            </w:r>
          </w:p>
        </w:tc>
      </w:tr>
      <w:tr w14:paraId="7AF5A9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C9CA8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35489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Petunidin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EEDF5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1429-30-7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B379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C16H13ClO7</w:t>
            </w:r>
          </w:p>
        </w:tc>
      </w:tr>
      <w:tr w14:paraId="412B8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976A4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5380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Quercetin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E26B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117-39-5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9E110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C15H10O7</w:t>
            </w:r>
          </w:p>
        </w:tc>
      </w:tr>
      <w:tr w14:paraId="6CDEAA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1C306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C777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Rutin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3AA6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153-18-4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1BAF07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C27H30O16</w:t>
            </w:r>
          </w:p>
        </w:tc>
      </w:tr>
      <w:tr w14:paraId="61D4C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ECC65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3AFB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Procyanidin B4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21514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29106-51-2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23E52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C30H26O12</w:t>
            </w:r>
          </w:p>
        </w:tc>
      </w:tr>
      <w:tr w14:paraId="466B74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763A9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53D6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Luteolin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096C7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491-70-3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C364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C15H10O6</w:t>
            </w:r>
          </w:p>
        </w:tc>
      </w:tr>
      <w:tr w14:paraId="29927E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311F2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CFAF2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Procyanidin B2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D1FD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29106-49-8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EF83C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C30H26O12</w:t>
            </w:r>
          </w:p>
        </w:tc>
      </w:tr>
      <w:tr w14:paraId="35E889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10958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1DB9E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Kaempferol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FCCB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520-18-3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B9FD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C15H10O6</w:t>
            </w:r>
          </w:p>
        </w:tc>
      </w:tr>
      <w:tr w14:paraId="63FB7D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01B3E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Carotenoid</w:t>
            </w: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AA19F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Zeaxanthin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5DF9E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144-68-3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65B92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2</w:t>
            </w:r>
          </w:p>
        </w:tc>
      </w:tr>
      <w:tr w14:paraId="51221F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893868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B3EC4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β-Cryptoxanthin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F92EA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472-70-8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9C819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</w:p>
        </w:tc>
      </w:tr>
      <w:tr w14:paraId="0CC611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82BA1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E7F6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Xanthophyll (Lutein)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BCE177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127-40-2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5E49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2</w:t>
            </w:r>
          </w:p>
        </w:tc>
      </w:tr>
      <w:tr w14:paraId="2A8916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EC78F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D48D6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β-Carotene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06386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7235-40-7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D094C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</w:p>
        </w:tc>
      </w:tr>
      <w:tr w14:paraId="2C1760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36600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2CAD4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α-Carotene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BFD0AF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7488-99-5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5080A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</w:p>
        </w:tc>
      </w:tr>
      <w:tr w14:paraId="3315B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083EE1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55A12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Lycopene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F251D2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502-65-8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30B1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</w:p>
        </w:tc>
      </w:tr>
      <w:tr w14:paraId="13E3A4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6269C3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02D7E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Capsanthin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61D534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465-42-9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8C2E1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3</w:t>
            </w:r>
          </w:p>
        </w:tc>
      </w:tr>
      <w:tr w14:paraId="03D5D5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CCD8DC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E4229E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Violaxanthin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071F5A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126-29-4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2FA85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56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</w:t>
            </w:r>
          </w:p>
        </w:tc>
      </w:tr>
      <w:tr w14:paraId="168F32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4" w:type="pct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A8739F0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</w:p>
        </w:tc>
        <w:tc>
          <w:tcPr>
            <w:tcW w:w="170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F8B70DB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Neoxanthin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6C7D2B9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14660-91-4</w:t>
            </w:r>
          </w:p>
        </w:tc>
        <w:tc>
          <w:tcPr>
            <w:tcW w:w="122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6A40496">
            <w:pPr>
              <w:jc w:val="center"/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40</w:t>
            </w:r>
            <w:r>
              <w:rPr>
                <w:rFonts w:ascii="Times New Roman" w:hAnsi="Times New Roman" w:eastAsia="SimSun" w:cs="Times New Roman"/>
                <w:sz w:val="24"/>
              </w:rPr>
              <w:t>H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58</w:t>
            </w:r>
            <w:r>
              <w:rPr>
                <w:rFonts w:ascii="Times New Roman" w:hAnsi="Times New Roman" w:eastAsia="SimSun" w:cs="Times New Roman"/>
                <w:sz w:val="24"/>
              </w:rPr>
              <w:t>O</w:t>
            </w:r>
            <w:r>
              <w:rPr>
                <w:rFonts w:ascii="Times New Roman" w:hAnsi="Times New Roman" w:eastAsia="SimSun" w:cs="Times New Roman"/>
                <w:sz w:val="24"/>
                <w:vertAlign w:val="subscript"/>
              </w:rPr>
              <w:t>4</w:t>
            </w:r>
          </w:p>
        </w:tc>
      </w:tr>
    </w:tbl>
    <w:p w14:paraId="53A9A1A2">
      <w:pPr>
        <w:rPr>
          <w:rFonts w:ascii="Times New Roman" w:hAnsi="Times New Roman" w:eastAsia="SimSun" w:cs="Times New Roman"/>
          <w:sz w:val="24"/>
        </w:rPr>
      </w:pPr>
      <w:r>
        <w:rPr>
          <w:rFonts w:ascii="Times New Roman" w:hAnsi="Times New Roman" w:eastAsia="SimSun" w:cs="Times New Roman"/>
          <w:sz w:val="24"/>
        </w:rPr>
        <w:t>The standard samples mainly come from Sigma company.</w:t>
      </w:r>
    </w:p>
    <w:p w14:paraId="606550C0">
      <w:pPr>
        <w:widowControl/>
        <w:rPr>
          <w:rFonts w:ascii="Times New Roman" w:hAnsi="Times New Roman" w:eastAsia="SimSun" w:cs="Times New Roman"/>
          <w:bCs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t>Table S4</w:t>
      </w:r>
      <w:r>
        <w:rPr>
          <w:rFonts w:ascii="Times New Roman" w:hAnsi="Times New Roman" w:eastAsia="SimSun" w:cs="Times New Roman"/>
          <w:bCs/>
          <w:sz w:val="24"/>
        </w:rPr>
        <w:t>. Gradient concentration information of anthocyanin mixed standard。</w:t>
      </w:r>
    </w:p>
    <w:tbl>
      <w:tblPr>
        <w:tblStyle w:val="15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1"/>
        <w:gridCol w:w="709"/>
        <w:gridCol w:w="709"/>
        <w:gridCol w:w="709"/>
        <w:gridCol w:w="709"/>
        <w:gridCol w:w="709"/>
        <w:gridCol w:w="710"/>
        <w:gridCol w:w="710"/>
        <w:gridCol w:w="710"/>
      </w:tblGrid>
      <w:tr w14:paraId="76F901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top"/>
          </w:tcPr>
          <w:p w14:paraId="1D9FF18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 xml:space="preserve">Compound </w:t>
            </w:r>
          </w:p>
        </w:tc>
        <w:tc>
          <w:tcPr>
            <w:tcW w:w="3416" w:type="pct"/>
            <w:gridSpan w:val="8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71B2182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Concentration (ng/mL)</w:t>
            </w:r>
          </w:p>
        </w:tc>
      </w:tr>
      <w:tr w14:paraId="7F1528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299971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Malvidin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7193E2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E1CC49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B3FCB3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D5CD4E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EE69DAC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56B494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6C1065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A4579A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3F87C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28D077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Pelargonidin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C70574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85CE5C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76E350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F4ACA2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4CDE5B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D6960E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5A9CC2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0C3DAD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273FFE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6CBD5B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Delphinidin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D33801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406199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0A533E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F65AD1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2C2E8D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E4959F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37C007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2D07BC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6797C4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892286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Peonidin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E5D9A7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0F6D22C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9C85FD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9305D8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7CB0A9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07D962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90FCC5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66200F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25F6D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58E773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Cyanidin-3-galactoside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AB7416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C6673E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C3662E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911946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521A6E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946FAC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CCD636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343064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78B161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5118C8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Isorhamnetin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8B5672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36B887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B3C73A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FF6703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B3E2FB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9E5698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AD27AB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FB1C08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40EF5E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D91E53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Cyanidin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DDC850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C3B0AE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6445A5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022DFA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88B8FB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C5FA5C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E8DBB0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6F0650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7F40B3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287E87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Cyanidin-3,5-diglucoside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CD4FC2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4BFC24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5D7CC4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335FC5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02E42C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9AF999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0D6680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EAB2C7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7EFB3E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AEDE47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Petunidin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7ACB13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35FFC3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5CB48B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397629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CBB2CE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BF57E2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014811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2A2CF6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72BB61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0CDD41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Quercetin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0210541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B04261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512BAE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60BBDE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D39FF4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789106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C9D601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35388E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0DFD49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D732B2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Rutin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DCDC41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344DF8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4D64B6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CC7DD2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818270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3908AF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E776FC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BA9EC1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72CF74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010F3D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Procyanidin B4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EEAAFD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685D63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A741EFC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406EDF0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6A97A1C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5D4CCBC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0422190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86BE1CD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04DF69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3DFF9B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Luteolin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5020A9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1B6D3D3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209822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227A60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8C7CBB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4850C7E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53C557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55F5C4B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6C0152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2E2B0164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Procyanidin B2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76B867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75D66C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45F394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644B164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011C0DF5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3388B482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CC57DB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top"/>
          </w:tcPr>
          <w:p w14:paraId="734E94F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  <w:tr w14:paraId="61700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8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67E255C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Kaempferol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68A64E28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3EA3230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60F87D1F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5AA804B6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300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5D469A3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500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088C9937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800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20C90859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1000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top"/>
          </w:tcPr>
          <w:p w14:paraId="2857E6AA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2000</w:t>
            </w:r>
          </w:p>
        </w:tc>
      </w:tr>
    </w:tbl>
    <w:p w14:paraId="13FEC8D0">
      <w:pPr>
        <w:rPr>
          <w:rFonts w:ascii="Times New Roman" w:hAnsi="Times New Roman" w:eastAsia="SimSun" w:cs="Times New Roman"/>
          <w:bCs/>
          <w:sz w:val="24"/>
        </w:rPr>
      </w:pPr>
      <w:r>
        <w:rPr>
          <w:rFonts w:ascii="Times New Roman" w:hAnsi="Times New Roman" w:eastAsia="SimSun" w:cs="Times New Roman"/>
          <w:b/>
          <w:bCs/>
          <w:sz w:val="24"/>
        </w:rPr>
        <w:br w:type="page"/>
      </w:r>
      <w:r>
        <w:rPr>
          <w:rFonts w:ascii="Times New Roman" w:hAnsi="Times New Roman" w:eastAsia="SimSun" w:cs="Times New Roman"/>
          <w:b/>
          <w:bCs/>
          <w:sz w:val="24"/>
        </w:rPr>
        <w:t>Table S5</w:t>
      </w:r>
      <w:r>
        <w:rPr>
          <w:rFonts w:ascii="Times New Roman" w:hAnsi="Times New Roman" w:eastAsia="SimSun" w:cs="Times New Roman"/>
          <w:bCs/>
          <w:sz w:val="24"/>
        </w:rPr>
        <w:t>. Gradient concentration information of mixed standards of carotenoids.</w:t>
      </w:r>
    </w:p>
    <w:tbl>
      <w:tblPr>
        <w:tblStyle w:val="15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0"/>
        <w:gridCol w:w="932"/>
        <w:gridCol w:w="794"/>
        <w:gridCol w:w="591"/>
        <w:gridCol w:w="865"/>
        <w:gridCol w:w="865"/>
        <w:gridCol w:w="866"/>
        <w:gridCol w:w="873"/>
      </w:tblGrid>
      <w:tr w14:paraId="573D7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51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39C2203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Compound</w:t>
            </w:r>
          </w:p>
        </w:tc>
        <w:tc>
          <w:tcPr>
            <w:tcW w:w="3483" w:type="pct"/>
            <w:gridSpan w:val="7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30A5961B">
            <w:pPr>
              <w:rPr>
                <w:rFonts w:ascii="Times New Roman" w:hAnsi="Times New Roman" w:eastAsia="SimSun" w:cs="Times New Roman"/>
                <w:bCs/>
                <w:sz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</w:rPr>
              <w:t>Concentration (μg/mL)</w:t>
            </w:r>
          </w:p>
        </w:tc>
      </w:tr>
      <w:tr w14:paraId="6D1C2D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5B308D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Neoxanthin</w:t>
            </w:r>
          </w:p>
        </w:tc>
        <w:tc>
          <w:tcPr>
            <w:tcW w:w="56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D7DC2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68904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3F268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ADDEB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14448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C92BCD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A18738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  <w:tr w14:paraId="0EFCB9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93586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Violaxanthin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2DFF40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2971A0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53676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5EF91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1FEB4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50533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D4A627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  <w:tr w14:paraId="0B42E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3D08B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Capsanthin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5A7F07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3AF31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597F9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3E91D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F3321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9E9B7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12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A13B5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14</w:t>
            </w:r>
          </w:p>
        </w:tc>
      </w:tr>
      <w:tr w14:paraId="46CAE7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C8A985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Xanthophyll (Lutein)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ECCC4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7E8858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A60AC7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9149C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E790A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D129E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1CF89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  <w:tr w14:paraId="1D054B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F6E8BE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Zeaxanthin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61A01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6DA3F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73F86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FD7818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2A7DA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BBAB87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12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4612A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14</w:t>
            </w:r>
          </w:p>
        </w:tc>
      </w:tr>
      <w:tr w14:paraId="50AB43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839F9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β-Cryptoxanthin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ABD369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0.25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56C97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1.25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C683F8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2.5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ADE66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EDFFC3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A4CD1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15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C8B94B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17.5</w:t>
            </w:r>
          </w:p>
        </w:tc>
      </w:tr>
      <w:tr w14:paraId="610D5A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343D8B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α-Carotene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3DD07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31272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2C37C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1670DA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7DDB10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43FACD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6F355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  <w:tr w14:paraId="3B8C51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4BC31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β-Carotene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2CE0CC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53D611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D7AC59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93B3C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444D7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1027F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5CEB66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  <w:tr w14:paraId="4A085C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151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784F5C59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Lycopene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598E721B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0.1</w:t>
            </w:r>
          </w:p>
        </w:tc>
        <w:tc>
          <w:tcPr>
            <w:tcW w:w="4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0C47C2B4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191E850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552AFC02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23558BF9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E7E5D4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0ED1E10F">
            <w:pPr>
              <w:rPr>
                <w:rFonts w:ascii="Times New Roman" w:hAnsi="Times New Roman" w:eastAsia="SimSun" w:cs="Times New Roman"/>
                <w:sz w:val="24"/>
              </w:rPr>
            </w:pPr>
            <w:r>
              <w:rPr>
                <w:rFonts w:ascii="Times New Roman" w:hAnsi="Times New Roman" w:eastAsia="SimSun" w:cs="Times New Roman"/>
                <w:sz w:val="24"/>
              </w:rPr>
              <w:t>7</w:t>
            </w:r>
          </w:p>
        </w:tc>
      </w:tr>
    </w:tbl>
    <w:p w14:paraId="27542B4F"/>
    <w:p w14:paraId="4AED9104">
      <w:pPr>
        <w:spacing w:after="0" w:line="480" w:lineRule="auto"/>
        <w:jc w:val="both"/>
        <w:rPr>
          <w:rFonts w:ascii="Times New Roman" w:hAnsi="Times New Roman"/>
        </w:rPr>
      </w:pPr>
    </w:p>
    <w:p w14:paraId="5D495064">
      <w:pPr>
        <w:spacing w:after="0" w:line="480" w:lineRule="auto"/>
        <w:jc w:val="both"/>
        <w:rPr>
          <w:rFonts w:ascii="Times New Roman" w:hAnsi="Times New Roman"/>
        </w:rPr>
      </w:pPr>
    </w:p>
    <w:p w14:paraId="69B29F83">
      <w:pPr>
        <w:spacing w:after="0" w:line="480" w:lineRule="auto"/>
        <w:jc w:val="both"/>
        <w:rPr>
          <w:rFonts w:ascii="Times New Roman" w:hAnsi="Times New Roman"/>
        </w:rPr>
      </w:pPr>
    </w:p>
    <w:p w14:paraId="0086A563">
      <w:pPr>
        <w:spacing w:after="0" w:line="480" w:lineRule="auto"/>
        <w:jc w:val="both"/>
        <w:rPr>
          <w:rFonts w:ascii="Times New Roman" w:hAnsi="Times New Roman"/>
        </w:rPr>
      </w:pPr>
    </w:p>
    <w:p w14:paraId="1EEB21A3">
      <w:pPr>
        <w:spacing w:after="0" w:line="480" w:lineRule="auto"/>
        <w:jc w:val="both"/>
        <w:rPr>
          <w:rFonts w:ascii="Times New Roman" w:hAnsi="Times New Roman"/>
        </w:rPr>
      </w:pPr>
    </w:p>
    <w:p w14:paraId="0916DB39">
      <w:pPr>
        <w:spacing w:after="0" w:line="480" w:lineRule="auto"/>
        <w:jc w:val="both"/>
        <w:rPr>
          <w:rFonts w:ascii="Times New Roman" w:hAnsi="Times New Roman"/>
        </w:rPr>
      </w:pPr>
    </w:p>
    <w:p w14:paraId="5CBEC28D">
      <w:pPr>
        <w:spacing w:after="0" w:line="480" w:lineRule="auto"/>
        <w:jc w:val="both"/>
        <w:rPr>
          <w:rFonts w:ascii="Times New Roman" w:hAnsi="Times New Roman"/>
        </w:rPr>
      </w:pPr>
    </w:p>
    <w:p w14:paraId="7F01B2E1">
      <w:pPr>
        <w:spacing w:after="0" w:line="240" w:lineRule="auto"/>
        <w:jc w:val="both"/>
        <w:rPr>
          <w:rFonts w:hint="eastAsia" w:ascii="Times New Roman" w:hAnsi="Times New Roman"/>
          <w:sz w:val="24"/>
        </w:rPr>
      </w:pPr>
    </w:p>
    <w:p w14:paraId="2CB2C087">
      <w:pPr>
        <w:spacing w:after="0" w:line="480" w:lineRule="auto"/>
        <w:jc w:val="both"/>
        <w:rPr>
          <w:rFonts w:hint="eastAsia" w:ascii="Times New Roman" w:hAnsi="Times New Roman"/>
          <w:sz w:val="24"/>
        </w:rPr>
      </w:pPr>
    </w:p>
    <w:sectPr>
      <w:pgSz w:w="11906" w:h="16838"/>
      <w:pgMar w:top="1440" w:right="1800" w:bottom="1440" w:left="1800" w:header="851" w:footer="992" w:gutter="0"/>
      <w:lnNumType w:countBy="1" w:restart="continuous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B3CE2417-D7E8-4F63-AD13-AF7FF302C4D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B985B62-E2FA-4DD4-BE31-FEEB15F2A0B8}"/>
  </w:font>
  <w:font w:name="DengXian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TrueTypeFonts/>
  <w:saveSubsetFonts/>
  <w:bordersDoNotSurroundHeader w:val="1"/>
  <w:bordersDoNotSurroundFooter w:val="1"/>
  <w:documentProtection w:enforcement="0"/>
  <w:defaultTabStop w:val="420"/>
  <w:hyphenationZone w:val="36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7E"/>
    <w:rsid w:val="001619EB"/>
    <w:rsid w:val="005936F4"/>
    <w:rsid w:val="006E73ED"/>
    <w:rsid w:val="007A76CA"/>
    <w:rsid w:val="008F007E"/>
    <w:rsid w:val="00A96523"/>
    <w:rsid w:val="00AC2059"/>
    <w:rsid w:val="00AE01C9"/>
    <w:rsid w:val="00CB6980"/>
    <w:rsid w:val="00E03EE7"/>
    <w:rsid w:val="12671D64"/>
    <w:rsid w:val="29ED6C2D"/>
    <w:rsid w:val="3C3F0A8C"/>
    <w:rsid w:val="74783B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DengXian" w:hAnsi="DengXian" w:eastAsia="DengXi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="DengXian" w:hAnsi="DengXian" w:eastAsia="DengXian" w:cs="Times New Roman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="DengXian Light" w:hAnsi="DengXian Light" w:eastAsia="DengXian Light" w:cs="Times New Roman"/>
      <w:color w:val="2F5496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="DengXian Light" w:hAnsi="DengXian Light" w:eastAsia="DengXian Light" w:cs="Times New Roman"/>
      <w:color w:val="2F5496"/>
      <w:sz w:val="40"/>
      <w:szCs w:val="4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80"/>
      <w:outlineLvl w:val="2"/>
    </w:pPr>
    <w:rPr>
      <w:rFonts w:ascii="DengXian Light" w:hAnsi="DengXian Light" w:eastAsia="DengXian Light" w:cs="Times New Roman"/>
      <w:color w:val="2F5496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80" w:after="40"/>
      <w:outlineLvl w:val="3"/>
    </w:pPr>
    <w:rPr>
      <w:rFonts w:cs="Times New Roman"/>
      <w:color w:val="2F5496"/>
      <w:sz w:val="28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80" w:after="40"/>
      <w:outlineLvl w:val="4"/>
    </w:pPr>
    <w:rPr>
      <w:rFonts w:cs="Times New Roman"/>
      <w:color w:val="2F5496"/>
      <w:sz w:val="24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spacing w:before="40" w:after="0"/>
      <w:outlineLvl w:val="5"/>
    </w:pPr>
    <w:rPr>
      <w:rFonts w:cs="Times New Roman"/>
      <w:b/>
      <w:bCs/>
      <w:color w:val="2F5496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spacing w:before="40" w:after="0"/>
      <w:outlineLvl w:val="6"/>
    </w:pPr>
    <w:rPr>
      <w:rFonts w:cs="Times New Roman"/>
      <w:b/>
      <w:bCs/>
      <w:color w:val="595959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spacing w:after="0"/>
      <w:outlineLvl w:val="7"/>
    </w:pPr>
    <w:rPr>
      <w:rFonts w:cs="Times New Roman"/>
      <w:color w:val="595959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spacing w:after="0"/>
      <w:outlineLvl w:val="8"/>
    </w:pPr>
    <w:rPr>
      <w:rFonts w:eastAsia="DengXian Light" w:cs="Times New Roman"/>
      <w:color w:val="595959"/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numPr>
        <w:ilvl w:val="1"/>
        <w:numId w:val="0"/>
      </w:numPr>
      <w:jc w:val="center"/>
    </w:pPr>
    <w:rPr>
      <w:rFonts w:ascii="DengXian Light" w:hAnsi="DengXian Light" w:eastAsia="DengXian Light" w:cs="Times New Roman"/>
      <w:color w:val="595959"/>
      <w:spacing w:val="15"/>
      <w:sz w:val="28"/>
      <w:szCs w:val="28"/>
    </w:rPr>
  </w:style>
  <w:style w:type="paragraph" w:styleId="14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="DengXian Light" w:hAnsi="DengXian Light" w:eastAsia="DengXian Light" w:cs="Times New Roman"/>
      <w:spacing w:val="-10"/>
      <w:kern w:val="28"/>
      <w:sz w:val="56"/>
      <w:szCs w:val="56"/>
    </w:rPr>
  </w:style>
  <w:style w:type="character" w:styleId="17">
    <w:name w:val="line number"/>
    <w:basedOn w:val="16"/>
    <w:unhideWhenUsed/>
    <w:uiPriority w:val="99"/>
  </w:style>
  <w:style w:type="character" w:customStyle="1" w:styleId="18">
    <w:name w:val="标题 1 字符"/>
    <w:link w:val="2"/>
    <w:uiPriority w:val="9"/>
    <w:rPr>
      <w:rFonts w:ascii="DengXian Light" w:hAnsi="DengXian Light" w:eastAsia="DengXian Light" w:cs="Times New Roman"/>
      <w:color w:val="2F5496"/>
      <w:sz w:val="48"/>
      <w:szCs w:val="48"/>
    </w:rPr>
  </w:style>
  <w:style w:type="character" w:customStyle="1" w:styleId="19">
    <w:name w:val="标题 2 字符"/>
    <w:link w:val="3"/>
    <w:semiHidden/>
    <w:qFormat/>
    <w:uiPriority w:val="9"/>
    <w:rPr>
      <w:rFonts w:ascii="DengXian Light" w:hAnsi="DengXian Light" w:eastAsia="DengXian Light" w:cs="Times New Roman"/>
      <w:color w:val="2F5496"/>
      <w:sz w:val="40"/>
      <w:szCs w:val="40"/>
    </w:rPr>
  </w:style>
  <w:style w:type="character" w:customStyle="1" w:styleId="20">
    <w:name w:val="标题 3 字符"/>
    <w:link w:val="4"/>
    <w:semiHidden/>
    <w:uiPriority w:val="9"/>
    <w:rPr>
      <w:rFonts w:ascii="DengXian Light" w:hAnsi="DengXian Light" w:eastAsia="DengXian Light" w:cs="Times New Roman"/>
      <w:color w:val="2F5496"/>
      <w:sz w:val="32"/>
      <w:szCs w:val="32"/>
    </w:rPr>
  </w:style>
  <w:style w:type="character" w:customStyle="1" w:styleId="21">
    <w:name w:val="标题 4 字符"/>
    <w:link w:val="5"/>
    <w:semiHidden/>
    <w:qFormat/>
    <w:uiPriority w:val="9"/>
    <w:rPr>
      <w:rFonts w:cs="Times New Roman"/>
      <w:color w:val="2F5496"/>
      <w:sz w:val="28"/>
      <w:szCs w:val="28"/>
    </w:rPr>
  </w:style>
  <w:style w:type="character" w:customStyle="1" w:styleId="22">
    <w:name w:val="标题 5 字符"/>
    <w:link w:val="6"/>
    <w:semiHidden/>
    <w:qFormat/>
    <w:uiPriority w:val="9"/>
    <w:rPr>
      <w:rFonts w:cs="Times New Roman"/>
      <w:color w:val="2F5496"/>
      <w:sz w:val="24"/>
    </w:rPr>
  </w:style>
  <w:style w:type="character" w:customStyle="1" w:styleId="23">
    <w:name w:val="标题 6 字符"/>
    <w:link w:val="7"/>
    <w:semiHidden/>
    <w:uiPriority w:val="9"/>
    <w:rPr>
      <w:rFonts w:cs="Times New Roman"/>
      <w:b/>
      <w:bCs/>
      <w:color w:val="2F5496"/>
    </w:rPr>
  </w:style>
  <w:style w:type="character" w:customStyle="1" w:styleId="24">
    <w:name w:val="标题 7 字符"/>
    <w:link w:val="8"/>
    <w:semiHidden/>
    <w:uiPriority w:val="9"/>
    <w:rPr>
      <w:rFonts w:cs="Times New Roman"/>
      <w:b/>
      <w:bCs/>
      <w:color w:val="595959"/>
    </w:rPr>
  </w:style>
  <w:style w:type="character" w:customStyle="1" w:styleId="25">
    <w:name w:val="标题 8 字符"/>
    <w:link w:val="9"/>
    <w:semiHidden/>
    <w:qFormat/>
    <w:uiPriority w:val="9"/>
    <w:rPr>
      <w:rFonts w:cs="Times New Roman"/>
      <w:color w:val="595959"/>
    </w:rPr>
  </w:style>
  <w:style w:type="character" w:customStyle="1" w:styleId="26">
    <w:name w:val="标题 9 字符"/>
    <w:link w:val="10"/>
    <w:semiHidden/>
    <w:qFormat/>
    <w:uiPriority w:val="9"/>
    <w:rPr>
      <w:rFonts w:eastAsia="DengXian Light" w:cs="Times New Roman"/>
      <w:color w:val="595959"/>
    </w:rPr>
  </w:style>
  <w:style w:type="character" w:customStyle="1" w:styleId="27">
    <w:name w:val="页脚 字符"/>
    <w:link w:val="11"/>
    <w:uiPriority w:val="99"/>
    <w:rPr>
      <w:sz w:val="18"/>
      <w:szCs w:val="18"/>
    </w:rPr>
  </w:style>
  <w:style w:type="character" w:customStyle="1" w:styleId="28">
    <w:name w:val="页眉 字符"/>
    <w:link w:val="12"/>
    <w:uiPriority w:val="99"/>
    <w:rPr>
      <w:sz w:val="18"/>
      <w:szCs w:val="18"/>
    </w:rPr>
  </w:style>
  <w:style w:type="character" w:customStyle="1" w:styleId="29">
    <w:name w:val="副标题 字符"/>
    <w:link w:val="13"/>
    <w:qFormat/>
    <w:uiPriority w:val="11"/>
    <w:rPr>
      <w:rFonts w:ascii="DengXian Light" w:hAnsi="DengXian Light" w:eastAsia="DengXian Light" w:cs="Times New Roman"/>
      <w:color w:val="595959"/>
      <w:spacing w:val="15"/>
      <w:sz w:val="28"/>
      <w:szCs w:val="28"/>
    </w:rPr>
  </w:style>
  <w:style w:type="character" w:customStyle="1" w:styleId="30">
    <w:name w:val="标题 字符"/>
    <w:link w:val="14"/>
    <w:uiPriority w:val="10"/>
    <w:rPr>
      <w:rFonts w:ascii="DengXian Light" w:hAnsi="DengXian Light" w:eastAsia="DengXian Light" w:cs="Times New Roman"/>
      <w:spacing w:val="-10"/>
      <w:kern w:val="28"/>
      <w:sz w:val="56"/>
      <w:szCs w:val="56"/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/>
    </w:rPr>
  </w:style>
  <w:style w:type="character" w:customStyle="1" w:styleId="32">
    <w:name w:val="引用 字符"/>
    <w:link w:val="31"/>
    <w:uiPriority w:val="29"/>
    <w:rPr>
      <w:i/>
      <w:iCs/>
      <w:color w:val="404040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_Style 33"/>
    <w:qFormat/>
    <w:uiPriority w:val="21"/>
    <w:rPr>
      <w:i/>
      <w:iCs/>
      <w:color w:val="2F5496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2F5496" w:sz="4" w:space="10"/>
        <w:bottom w:val="single" w:color="2F5496" w:sz="4" w:space="10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36">
    <w:name w:val="明显引用 字符"/>
    <w:link w:val="35"/>
    <w:uiPriority w:val="30"/>
    <w:rPr>
      <w:i/>
      <w:iCs/>
      <w:color w:val="2F5496"/>
    </w:rPr>
  </w:style>
  <w:style w:type="character" w:customStyle="1" w:styleId="37">
    <w:name w:val="_Style 36"/>
    <w:qFormat/>
    <w:uiPriority w:val="32"/>
    <w:rPr>
      <w:b/>
      <w:bCs/>
      <w:smallCaps/>
      <w:color w:val="2F5496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1130</Words>
  <Characters>6937</Characters>
  <Lines>39</Lines>
  <Paragraphs>11</Paragraphs>
  <TotalTime>0</TotalTime>
  <ScaleCrop>false</ScaleCrop>
  <LinksUpToDate>false</LinksUpToDate>
  <CharactersWithSpaces>7700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2025-12-31T01:09:00Z</dcterms:created>
  <dc:creator>da pang</dc:creator>
  <cp:lastModifiedBy>H</cp:lastModifiedBy>
  <dcterms:modified xsi:type="dcterms:W3CDTF">2026-05-20T11:38:32Z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eyJoZGlkIjoiODE3N2EwMzY0NDI0ODQ2YjE0M2YxYzUwMzAyZDliZDQiLCJ1c2VySWQiOiIxNTQ4NjIzMTAwIn0=</vt:lpwstr>
  </property>
  <property fmtid="{D5CDD505-2E9C-101B-9397-08002B2CF9AE}" pid="3" name="KSOProductBuildVer">
    <vt:lpwstr>2052-12.1.0.26375</vt:lpwstr>
  </property>
  <property fmtid="{D5CDD505-2E9C-101B-9397-08002B2CF9AE}" pid="4" name="ICV">
    <vt:lpwstr>5C71C7D11FBE441A9C0B41933D082540_13</vt:lpwstr>
  </property>
</Properties>
</file>