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339E2" w14:textId="77777777" w:rsidR="008E50C9" w:rsidRDefault="008E50C9" w:rsidP="008E50C9">
      <w:pPr>
        <w:spacing w:line="360" w:lineRule="auto"/>
        <w:jc w:val="both"/>
        <w:rPr>
          <w:rFonts w:ascii="Times New Roman" w:hAnsi="Times New Roman" w:cs="Times New Roman"/>
          <w:b/>
          <w:lang w:val="en-US"/>
        </w:rPr>
      </w:pPr>
      <w:r>
        <w:rPr>
          <w:rFonts w:ascii="Times New Roman" w:hAnsi="Times New Roman" w:cs="Times New Roman"/>
          <w:b/>
          <w:lang w:val="en-US"/>
        </w:rPr>
        <w:t xml:space="preserve">Supplemental Information. </w:t>
      </w:r>
    </w:p>
    <w:p w14:paraId="77B062AC" w14:textId="77777777" w:rsidR="008E50C9" w:rsidRPr="00893A65" w:rsidRDefault="008E50C9" w:rsidP="008E50C9">
      <w:pPr>
        <w:spacing w:line="360" w:lineRule="auto"/>
        <w:jc w:val="both"/>
        <w:rPr>
          <w:rFonts w:ascii="Times New Roman" w:hAnsi="Times New Roman" w:cs="Times New Roman"/>
          <w:b/>
          <w:lang w:val="en-US"/>
        </w:rPr>
      </w:pPr>
      <w:r w:rsidRPr="00893A65">
        <w:rPr>
          <w:rFonts w:ascii="Times New Roman" w:hAnsi="Times New Roman" w:cs="Times New Roman"/>
          <w:b/>
          <w:lang w:val="en-US"/>
        </w:rPr>
        <w:t>Quantitative real time PCR</w:t>
      </w:r>
    </w:p>
    <w:p w14:paraId="44C65CF1" w14:textId="77777777" w:rsidR="008E50C9" w:rsidRPr="00893A65" w:rsidRDefault="008E50C9" w:rsidP="008E50C9">
      <w:pPr>
        <w:spacing w:line="360" w:lineRule="auto"/>
        <w:jc w:val="both"/>
        <w:rPr>
          <w:rFonts w:ascii="Times New Roman" w:hAnsi="Times New Roman" w:cs="Times New Roman"/>
          <w:lang w:val="en-US"/>
        </w:rPr>
      </w:pPr>
      <w:r w:rsidRPr="00893A65">
        <w:rPr>
          <w:rFonts w:ascii="Times New Roman" w:hAnsi="Times New Roman" w:cs="Times New Roman"/>
          <w:lang w:val="en-US"/>
        </w:rPr>
        <w:t>Total RNA from murine or human cell lines, were isolated with TRIZol Reagent (Invitrogen) as described</w:t>
      </w:r>
      <w:r w:rsidRPr="00893A65">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{"citationItems":[{"id":"ITEM-1","itemData":{"DOI":"10.1016/j.juro.2015.06.093","ISSN":"15273792","PMID":"26144336","abstract":"Purpose Bacillus Calmette-Guérin is the standard treatment for patients with nonmuscle invasive high histological grade bladder cancer. Previously we found that bacillus Calmette-Guérin induces murine bladder cancer MB49 cell death in vitro and in vivo, generating tissue remodeling, which involves the release of fibroblast growth factor (FGF)-2. Materials and Methods We studied the effect of bacillus Calmette-Guérin treatment on FGF-2 and FGF receptor (FGFR) expression in bladder cancer. Results In vitro FGF-2 increased MB49 cell proliferation but did not reverse bacillus Calmette-Guérin induced cell death. Increased FGF-2 expression was detected after bacillus Calmette-Guérin treatment. Moreover MB49 cells expressed high FGFR3 levels, which decreased after treatment. Similar results were observed in human T24 bladder cancer cells. In vivo MB49 tumors expressed higher FGFR3 levels than normal urothelium. Tumor FGFR3 decreased after treatment and correlated with tumor growth inhibition in response to bacillus Calmette-Guérin. In a pilot bioassay using 11 human bladder tumors treated ex vivo with bacillus Calmette-Guérin we found a subgroup of 41% of patients in whom FGFR3 was decreased after treatment. Conclusions Based on bladder cancer murine model results we infer that down-regulation of FGFR3 is a predictive marker of a good response to bacillus Calmette-Guérin therapy. The decrease in FGFR3 in response to bacillus Calmette-Guérin occurred not only in a murine model but also in a human bladder cancer cell line and in some patient samples. More patients and increased followup are needed to establish the predictive role of FGFR3 as a marker in human bladder cancer.","author":[{"dropping-particle":"V.","family":"Langle","given":"Yanina","non-dropping-particle":"","parse-names":false,"suffix":""},{"dropping-particle":"","family":"Belgorosky","given":"Denise","non-dropping-particle":"","parse-names":false,"suffix":""},{"dropping-particle":"","family":"Prack McCormick","given":"Bárbara","non-dropping-particle":"","parse-names":false,"suffix":""},{"dropping-particle":"","family":"Sahores","given":"Ana","non-dropping-particle":"","parse-names":false,"suffix":""},{"dropping-particle":"","family":"Góngora","given":"Adrián","non-dropping-particle":"","parse-names":false,"suffix":""},{"dropping-particle":"","family":"Baldi","given":"Alberto","non-dropping-particle":"","parse-names":false,"suffix":""},{"dropping-particle":"","family":"Lanari","given":"Claudia","non-dropping-particle":"","parse-names":false,"suffix":""},{"dropping-particle":"","family":"Lamb","given":"Caroline","non-dropping-particle":"","parse-names":false,"suffix":""},{"dropping-particle":"","family":"Eiján","given":"Ana M.","non-dropping-particle":"","parse-names":false,"suffix":""}],"container-title":"Journal of Urology","id":"ITEM-1","issue":"1","issued":{"date-parts":[["2016"]]},"page":"188-197","publisher":"Elsevier Ltd","title":"FGFR3 Down-Regulation is Involved in bacillus Calmette-Guérin Induced Bladder Tumor Growth Inhibition","type":"article-journal","volume":"195"},"uris":["http://www.mendeley.com/documents/?uuid=f8e31827-665e-449e-a569-47469dd28dea"]}],"mendeley":{"formattedCitation":"&lt;sup&gt;6&lt;/sup&gt;","plainTextFormattedCitation":"6","previouslyFormattedCitation":"&lt;sup&gt;13&lt;/sup&gt;"},"properties":{"noteIndex":0},"schema":"https://github.com/citation-style-language/schema/raw/master/csl-citation.json"}</w:instrText>
      </w:r>
      <w:r w:rsidRPr="00893A65">
        <w:rPr>
          <w:rFonts w:ascii="Times New Roman" w:hAnsi="Times New Roman" w:cs="Times New Roman"/>
          <w:lang w:val="en-US"/>
        </w:rPr>
        <w:fldChar w:fldCharType="separate"/>
      </w:r>
      <w:r w:rsidRPr="00C30BCD">
        <w:rPr>
          <w:rFonts w:ascii="Times New Roman" w:hAnsi="Times New Roman" w:cs="Times New Roman"/>
          <w:noProof/>
          <w:vertAlign w:val="superscript"/>
          <w:lang w:val="en-US"/>
        </w:rPr>
        <w:t>6</w:t>
      </w:r>
      <w:r w:rsidRPr="00893A65">
        <w:rPr>
          <w:rFonts w:ascii="Times New Roman" w:hAnsi="Times New Roman" w:cs="Times New Roman"/>
          <w:lang w:val="en-US"/>
        </w:rPr>
        <w:fldChar w:fldCharType="end"/>
      </w:r>
      <w:r w:rsidRPr="00893A65">
        <w:rPr>
          <w:rFonts w:ascii="Times New Roman" w:hAnsi="Times New Roman" w:cs="Times New Roman"/>
          <w:lang w:val="en-US"/>
        </w:rPr>
        <w:t>. Briefly, cDNA was synthesized using RT-PCR SuperScript™ III One-Step (Invitrogen) and used as template for qPCR analyzing using TransStart Green qPCR SuperMix (TransGen Biotech) and reactions were carried out in the CFX96 Real-Time System, C1000-Thermal-Cycler. Specific primers for mouse, SPARC Forward: 5´-GCCTGGATCTTCTTTCTCCT-3´, Reverse: 5´-GTTTGCAATGATGGTTCTGG-3´; MT1-MMP Forward: 5´-GCTTTACTGCCAGCGTTC-3´, Reverse: 5´-CCCACTTATGGATGAAGCAAT-3´ was normalized to GAPDH (glyceraldehyde-3-phosphate dehydrogenase) expression Forward: 5´-CAAAATGGTGAAGGTCGGTG-3´, Reverse: 5´-CAATGAAGGGGTCGTTGATG-3´. Human primers: SPARC Forward: 5´-GCGGAAAATCCCTGCCAGAA-3´; Reverse: 5´-GGCAGGAAGAGTCGAAGGTC-3´; MT1-MMP Forward: 5´-CAACATTGGAGGAGACACCCACT-3´, Reverse: 5´-CCAGGAAGATGTCATTTCCATTCA-3´ was normalized to TBP (TATA box-binding protein) expression Forward: 5´-TGCACAGGAGCCAAGAGTGAA-3´, Reverse: 5´-CACATCACAGCTCCCCACCA-3´.</w:t>
      </w:r>
    </w:p>
    <w:p w14:paraId="08E85827" w14:textId="77777777" w:rsidR="008E50C9" w:rsidRPr="00893A65" w:rsidRDefault="008E50C9" w:rsidP="008E50C9">
      <w:pPr>
        <w:spacing w:line="360" w:lineRule="auto"/>
        <w:jc w:val="both"/>
        <w:rPr>
          <w:rFonts w:ascii="Times New Roman" w:hAnsi="Times New Roman" w:cs="Times New Roman"/>
          <w:lang w:val="en-US"/>
        </w:rPr>
      </w:pPr>
      <w:r w:rsidRPr="00893A65">
        <w:rPr>
          <w:rFonts w:ascii="Times New Roman" w:hAnsi="Times New Roman" w:cs="Times New Roman"/>
          <w:lang w:val="en-US"/>
        </w:rPr>
        <w:t>Primers for MT1-MMP (upper primer, 5’-TTGGAGGAGACACCCACTTTGACT-3’; lower primer, 5’- CCAGGAAGATGTCATTTCCATTCAG-3’), SPARC (upper primer, 5’-TGTGGCAGAGGTGACTGAGGTATC -3’; lower primer, 5’- TCGGTTTCCTCTGCACCATCA-3’) and TBP (upper primer, 5'-TGCACAGGAGCCAAGAGTGAA-3’; lower primer, 5'-CACATCACAGCTCCCCACCA-3’), were selected with Oligo 6.0 program (National Biosciences, Plymouth, MN).</w:t>
      </w:r>
    </w:p>
    <w:p w14:paraId="548A9866" w14:textId="77777777" w:rsidR="008E50C9" w:rsidRDefault="008E50C9" w:rsidP="008E50C9">
      <w:pPr>
        <w:spacing w:line="360" w:lineRule="auto"/>
        <w:jc w:val="both"/>
        <w:rPr>
          <w:rFonts w:ascii="Times New Roman" w:hAnsi="Times New Roman" w:cs="Times New Roman"/>
          <w:lang w:val="en-US"/>
        </w:rPr>
      </w:pPr>
      <w:r w:rsidRPr="00861536">
        <w:rPr>
          <w:rFonts w:ascii="Times New Roman" w:hAnsi="Times New Roman" w:cs="Times New Roman"/>
          <w:lang w:val="en-US"/>
        </w:rPr>
        <w:t>For RT-qPCR on the samples of the breast cancer cohort, total RNA extraction, cDNA synthesis and qPCR reaction have been described elsewhere</w:t>
      </w:r>
      <w:r w:rsidRPr="009B129A">
        <w:rPr>
          <w:rFonts w:ascii="Times New Roman" w:hAnsi="Times New Roman" w:cs="Times New Roman"/>
          <w:lang w:val="fr-FR"/>
        </w:rPr>
        <w:fldChar w:fldCharType="begin" w:fldLock="1"/>
      </w:r>
      <w:r w:rsidRPr="00861536">
        <w:rPr>
          <w:rFonts w:ascii="Times New Roman" w:hAnsi="Times New Roman" w:cs="Times New Roman"/>
          <w:lang w:val="en-US"/>
        </w:rPr>
        <w:instrText xml:space="preserve">ADDIN CSL_CITATION {"citationItems":[{"id":"ITEM-1","itemData":{"DOI":"10.1093/carcin/22.9.1521","ISSN":"01433334","PMID":"11532875","abstract":"Little is known of the function and clinical significance of the androgen receptor (AR) in human breast cancer. Paradoxically, synthetic progestins, such as medroxy-progesterone acetate, are used for second line hormone therapy of breast cancer following tamoxifen failure. A sensitive and accurate assay for AR expression in breast tumors is thus required. Here we have developed and validated a real-time RT-PCR assay to quantify AR gene expression at the mRNA level in a series of 131 patients with unilateral invasive primary breast tumors. AR expression varied widely in tumor tissues (by at least 3 orders of magnitude), being underexpressed in 24/131 (18.3%) and overexpressed in 45/131 (34.4%) relative to normal breast tissues. We observed links (or trends) between AR status and age, menopausal status, Scarff-Bloom-Richardson histopathological grade, lymph node status and estrogen receptor </w:instrText>
      </w:r>
      <w:r w:rsidRPr="009B129A">
        <w:rPr>
          <w:rFonts w:ascii="Times New Roman" w:hAnsi="Times New Roman" w:cs="Times New Roman"/>
          <w:lang w:val="fr-FR"/>
        </w:rPr>
        <w:instrText>α</w:instrText>
      </w:r>
      <w:r w:rsidRPr="00861536">
        <w:rPr>
          <w:rFonts w:ascii="Times New Roman" w:hAnsi="Times New Roman" w:cs="Times New Roman"/>
          <w:lang w:val="en-US"/>
        </w:rPr>
        <w:instrText xml:space="preserve"> and progesterone receptor status. High AR mRNA levels were negatively linked to MYC gene over-expression (P = 8 × 10-6), confirming previous in vitro studies. Our results also suggest a role of the ARA70 gene (which encodes a major AR co-activator) in the AR pathway dysregulation observed in breast cancer. This simple, rapid and semi-automated method will be useful for screening cancer patients for altered AR expression and for predicting the response to androgen therapy in AR-related cancer patients.","author":[{"dropping-particle":"","family":"Bièche","given":"Ivan","non-dropping-particle":"","parse-names":false,"suffix":""},{"dropping-particle":"","family":"Parfait","given":"Béatrice","non-dropping-particle":"","parse-names":false,"suffix":""},{"dropping-particle":"","family":"Tozlu","given":"Sengü L.","non-dropping-particle":"","parse-names":false,"suffix":""},{"dropping-particle":"","family":"Lidereau","given":"Rosette","non-dropping-particle":"","parse-names":false,"suffix":""},{"dropping-particle":"","family":"Vidaud","given":"Michel","non-dropping-particle":"","parse-names":false,"suffix":""}],"container-title":"Carcinogenesis","id":"ITEM-1","issue":"9","issued":{"date-parts":[["2001"]]},"page":"1521-1526","title":"Quantitation of androgen receptor gene expression in sporadic breast tumors by real-time RT-PCR: Evidence that MYC is an AR-regulated gene","type":"article-journal","volume":"22"},"uris":["http://www.mendeley.com/documents/?uuid=19b06999-5034-44e1-8f9f-48e6e3a177e3"]}],"mendeley":{"formattedCitation":"&lt;sup&gt;14&lt;/sup&gt;","plainTextFormattedCitation":"14","previouslyFormattedCitation":"&lt;sup&gt;14&lt;/sup&gt;"},"properties":{"noteIndex":0},"schema":"https://github.com/citation-style-language/schema/raw/master/csl-citation.json"}</w:instrText>
      </w:r>
      <w:r w:rsidRPr="009B129A">
        <w:rPr>
          <w:rFonts w:ascii="Times New Roman" w:hAnsi="Times New Roman" w:cs="Times New Roman"/>
          <w:lang w:val="fr-FR"/>
        </w:rPr>
        <w:fldChar w:fldCharType="separate"/>
      </w:r>
      <w:r w:rsidRPr="00861536">
        <w:rPr>
          <w:rFonts w:ascii="Times New Roman" w:hAnsi="Times New Roman" w:cs="Times New Roman"/>
          <w:vertAlign w:val="superscript"/>
          <w:lang w:val="en-US"/>
        </w:rPr>
        <w:t>14</w:t>
      </w:r>
      <w:r w:rsidRPr="009B129A">
        <w:rPr>
          <w:rFonts w:ascii="Times New Roman" w:hAnsi="Times New Roman" w:cs="Times New Roman"/>
          <w:lang w:val="en-US"/>
        </w:rPr>
        <w:fldChar w:fldCharType="end"/>
      </w:r>
      <w:r w:rsidRPr="00861536">
        <w:rPr>
          <w:rFonts w:ascii="Times New Roman" w:hAnsi="Times New Roman" w:cs="Times New Roman"/>
          <w:lang w:val="en-US"/>
        </w:rPr>
        <w:t xml:space="preserve">. </w:t>
      </w:r>
      <w:r w:rsidRPr="009B129A">
        <w:rPr>
          <w:rFonts w:ascii="Times New Roman" w:hAnsi="Times New Roman" w:cs="Times New Roman"/>
          <w:lang w:val="en-US"/>
        </w:rPr>
        <w:t xml:space="preserve">Quantitative values were obtained from the cycle number (Ct value) using QuantStudio 7 Flex real-time PCR system (Applied Biosystems, Foster City, CA). Data from each sample were normalized on the basis of its content in TBP transcripts. TBP encoding the TATA box-binding protein (a component of the DNA-binding protein complex TFIID) was selected as an endogenous control due to the moderate level of its transcripts and the absence of known TBP retro-pseudogenes (retro-pseudogenes lead to co-amplification of contaminating genomic DNA and thus interfere with RT-PCR transcripts, despite the use of primers in separate exons). Relative mRNA expression levels were calculated using the 2^−ΔCt method, with TBP as the reference gene. Primers for MT1-MMP Specific primers details are listed in supplementary information. </w:t>
      </w:r>
    </w:p>
    <w:p w14:paraId="64055ECA" w14:textId="77777777" w:rsidR="008E50C9" w:rsidRDefault="008E50C9" w:rsidP="008E50C9">
      <w:pPr>
        <w:spacing w:line="360" w:lineRule="auto"/>
        <w:jc w:val="both"/>
        <w:rPr>
          <w:rFonts w:ascii="Times New Roman" w:hAnsi="Times New Roman" w:cs="Times New Roman"/>
          <w:lang w:val="en-US"/>
        </w:rPr>
      </w:pPr>
    </w:p>
    <w:p w14:paraId="3D124E24" w14:textId="77777777" w:rsidR="008E50C9" w:rsidRPr="00493AE7" w:rsidRDefault="008E50C9" w:rsidP="008E50C9">
      <w:pPr>
        <w:spacing w:line="360" w:lineRule="auto"/>
        <w:jc w:val="both"/>
        <w:rPr>
          <w:rFonts w:ascii="Times New Roman" w:hAnsi="Times New Roman" w:cs="Times New Roman"/>
          <w:b/>
          <w:lang w:val="en-GB"/>
        </w:rPr>
      </w:pPr>
      <w:r w:rsidRPr="00493AE7">
        <w:rPr>
          <w:rFonts w:ascii="Times New Roman" w:hAnsi="Times New Roman" w:cs="Times New Roman"/>
          <w:b/>
          <w:lang w:val="en-GB"/>
        </w:rPr>
        <w:t>Fluorescent Gelatin Degradation Assay</w:t>
      </w:r>
    </w:p>
    <w:p w14:paraId="024C7DFE" w14:textId="77777777" w:rsidR="008E50C9" w:rsidRDefault="008E50C9" w:rsidP="008E50C9">
      <w:pPr>
        <w:spacing w:line="360" w:lineRule="auto"/>
        <w:jc w:val="both"/>
        <w:rPr>
          <w:rFonts w:ascii="Times New Roman" w:hAnsi="Times New Roman" w:cs="Times New Roman"/>
          <w:lang w:val="en-US"/>
        </w:rPr>
      </w:pPr>
      <w:r w:rsidRPr="00493AE7">
        <w:rPr>
          <w:rFonts w:ascii="Times New Roman" w:hAnsi="Times New Roman" w:cs="Times New Roman"/>
          <w:lang w:val="en-GB"/>
        </w:rPr>
        <w:t>Assays of fluorescent gelatin degradation were performed and quantified as previously described</w:t>
      </w:r>
      <w:r w:rsidRPr="00493AE7">
        <w:rPr>
          <w:rFonts w:ascii="Times New Roman" w:hAnsi="Times New Roman" w:cs="Times New Roman"/>
          <w:lang w:val="en-GB"/>
        </w:rPr>
        <w:fldChar w:fldCharType="begin" w:fldLock="1"/>
      </w:r>
      <w:r w:rsidRPr="00493AE7">
        <w:rPr>
          <w:rFonts w:ascii="Times New Roman" w:hAnsi="Times New Roman" w:cs="Times New Roman"/>
          <w:lang w:val="en-GB"/>
        </w:rPr>
        <w:instrText>ADDIN CSL_CITATION {"citationItems":[{"id":"ITEM-1","itemData":{"DOI":"10.1083/jcb.200709076","ISSN":"00219525","PMID":"18541705","abstract":"Invadopodia are actin-based membrane protrusions formed at contact sites between invasive tumor cells and the extracellular matrix with matrix proteolytic activity. Actin regulatory proteins participate in invadopodia formation, whereas matrix degradation requires metalloproteinases (MMPs) targeted to invadopodia. In this study, we show that the vesicle-tethering exocyst complex is required for matrix proteolysis and invasion of breast carcinoma cells. We demonstrate that the exocyst subunits Sec3 and Sec8 interact with the polarity protein IQGAP1 and that this interaction is triggered by active Cdc42 and RhoA, which are essential for matrix degradation. Interaction between IQGAP1 and the exocyst is necessary for invadopodia activity because enhancement of matrix degradation induced by the expression of IQGAP1 is lost upon deletion of the exocyst-binding site. We further show that the exocyst and IQGAP1 are required for the accumulation of cell surface membrane type 1 MMP at invadopodia. Based on these results, we propose that invadopodia function in tumor cells relies on the coordination of cytoskeletal assembly and exocytosis downstream of Rho guanosine triphosphatases. © 2008 Sakurai-Yageta et al. The Rockefeller University Press.","author":[{"dropping-particle":"","family":"Sakurai-Yageta","given":"Mika","non-dropping-particle":"","parse-names":false,"suffix":""},{"dropping-particle":"","family":"Recchi","given":"Chiara","non-dropping-particle":"","parse-names":false,"suffix":""},{"dropping-particle":"","family":"Dez","given":"Gaëlle","non-dropping-particle":"Le","parse-names":false,"suffix":""},{"dropping-particle":"","family":"Sibarita","given":"Jean Baptiste","non-dropping-particle":"","parse-names":false,"suffix":""},{"dropping-particle":"","family":"Daviet","given":"Laurent","non-dropping-particle":"","parse-names":false,"suffix":""},{"dropping-particle":"","family":"Camonis","given":"Jacques","non-dropping-particle":"","parse-names":false,"suffix":""},{"dropping-particle":"","family":"D'Souza-Schorey","given":"Crislyn","non-dropping-particle":"","parse-names":false,"suffix":""},{"dropping-particle":"","family":"Chavrier","given":"Philippe","non-dropping-particle":"","parse-names":false,"suffix":""}],"container-title":"Journal of Cell Biology","id":"ITEM-1","issue":"6","issued":{"date-parts":[["2008"]]},"page":"985-998","title":"The interaction of IQGAP1 with the exocyst complex is required for tumor cell invasion downstream of Cdc42 and RhoA","type":"article-journal","volume":"181"},"uris":["http://www.mendeley.com/documents/?uuid=0fe9099b-2e65-4594-ae3f-0e7b24621415"]}],"mendeley":{"formattedCitation":"&lt;sup&gt;15&lt;/sup&gt;","plainTextFormattedCitation":"15","previouslyFormattedCitation":"&lt;sup&gt;15&lt;/sup&gt;"},"properties":{"noteIndex":0},"schema":"https://github.com/citation-style-language/schema/raw/master/csl-citation.json"}</w:instrText>
      </w:r>
      <w:r w:rsidRPr="00493AE7">
        <w:rPr>
          <w:rFonts w:ascii="Times New Roman" w:hAnsi="Times New Roman" w:cs="Times New Roman"/>
          <w:lang w:val="en-GB"/>
        </w:rPr>
        <w:fldChar w:fldCharType="separate"/>
      </w:r>
      <w:r w:rsidRPr="00493AE7">
        <w:rPr>
          <w:rFonts w:ascii="Times New Roman" w:hAnsi="Times New Roman" w:cs="Times New Roman"/>
          <w:vertAlign w:val="superscript"/>
          <w:lang w:val="en-GB"/>
        </w:rPr>
        <w:t>15</w:t>
      </w:r>
      <w:r w:rsidRPr="00493AE7">
        <w:rPr>
          <w:rFonts w:ascii="Times New Roman" w:hAnsi="Times New Roman" w:cs="Times New Roman"/>
          <w:lang w:val="en-US"/>
        </w:rPr>
        <w:fldChar w:fldCharType="end"/>
      </w:r>
      <w:r w:rsidRPr="00493AE7">
        <w:rPr>
          <w:rFonts w:ascii="Times New Roman" w:hAnsi="Times New Roman" w:cs="Times New Roman"/>
          <w:lang w:val="en-GB"/>
        </w:rPr>
        <w:t xml:space="preserve">. </w:t>
      </w:r>
      <w:r w:rsidRPr="00493AE7">
        <w:rPr>
          <w:rFonts w:ascii="Times New Roman" w:hAnsi="Times New Roman" w:cs="Times New Roman"/>
          <w:lang w:val="en-US"/>
        </w:rPr>
        <w:t xml:space="preserve">Briefly, clean coverslips are incubated with 1:2000 poly-L-lysine (0.5 µg/ml, Sigma) 20 min at room temperature (RT), washed with PBS and incubated with 0.5% glutaraldehyde 15 min RT. Then washed 3 times with PBS and incubated for 10 min at RT the glass slides by inversion on gelatin-A488 (G13186, Invitrogen) placed on Parafilm previously cleaned with 70% ethanol. The coverslip was washed with PBS and incubated with 5 mg/ml sodium borohydrate (Sigma) during 3 min. The coverslip is washed 3 times with PBS, complete medium is added and incubated with cell suspension. The seeded cells were previously treated with </w:t>
      </w:r>
      <w:r w:rsidRPr="00493AE7">
        <w:rPr>
          <w:rFonts w:ascii="Times New Roman" w:hAnsi="Times New Roman" w:cs="Times New Roman"/>
          <w:bCs/>
          <w:lang w:val="en-US"/>
        </w:rPr>
        <w:t>TGF-β</w:t>
      </w:r>
      <w:r w:rsidRPr="00493AE7">
        <w:rPr>
          <w:rFonts w:ascii="Times New Roman" w:hAnsi="Times New Roman" w:cs="Times New Roman"/>
          <w:lang w:val="en-US"/>
        </w:rPr>
        <w:t xml:space="preserve"> (2 ng/ml, Peprotech), SB431542 (20 ng/ml, StemCell) or Galunisertib (1 µg/ml) overnight. After 3h of seeding, cells continued to receive the corresponding treatment. Then, cells were fixed 20 min RT with PFA 4% and stained with phalloidin (A22283, Life technologies) and DAPI (Santa Cruz Biotechnology). Slides were observed in a Nikon EclipseTM E400 fluorescence microscope and photographed with a CoolpixH 995 digital camera. The degradation capacity of the cells was determined using Image J, where levels of proteolysis were quantified as negative fluorescent areas.</w:t>
      </w:r>
    </w:p>
    <w:p w14:paraId="4B8A349E" w14:textId="77777777" w:rsidR="008E50C9" w:rsidRPr="00493AE7" w:rsidRDefault="008E50C9" w:rsidP="008E50C9">
      <w:pPr>
        <w:spacing w:line="360" w:lineRule="auto"/>
        <w:jc w:val="both"/>
        <w:rPr>
          <w:rFonts w:ascii="Times New Roman" w:hAnsi="Times New Roman" w:cs="Times New Roman"/>
          <w:lang w:val="en-US"/>
        </w:rPr>
      </w:pPr>
    </w:p>
    <w:p w14:paraId="101165D9" w14:textId="77777777" w:rsidR="008E50C9" w:rsidRPr="00493AE7" w:rsidRDefault="008E50C9" w:rsidP="008E50C9">
      <w:pPr>
        <w:spacing w:line="360" w:lineRule="auto"/>
        <w:jc w:val="both"/>
        <w:rPr>
          <w:rFonts w:ascii="Times New Roman" w:hAnsi="Times New Roman" w:cs="Times New Roman"/>
          <w:b/>
          <w:lang w:val="it-IT"/>
        </w:rPr>
      </w:pPr>
      <w:r w:rsidRPr="00493AE7">
        <w:rPr>
          <w:rFonts w:ascii="Times New Roman" w:hAnsi="Times New Roman" w:cs="Times New Roman"/>
          <w:b/>
          <w:lang w:val="it-IT"/>
        </w:rPr>
        <w:t>Immunofluorescence analysis</w:t>
      </w:r>
    </w:p>
    <w:p w14:paraId="067CF526" w14:textId="77777777" w:rsidR="008E50C9" w:rsidRPr="00493AE7" w:rsidRDefault="008E50C9" w:rsidP="008E50C9">
      <w:pPr>
        <w:spacing w:line="360" w:lineRule="auto"/>
        <w:jc w:val="both"/>
        <w:rPr>
          <w:rFonts w:ascii="Times New Roman" w:hAnsi="Times New Roman" w:cs="Times New Roman"/>
          <w:lang w:val="en"/>
        </w:rPr>
      </w:pPr>
      <w:r w:rsidRPr="00493AE7">
        <w:rPr>
          <w:rFonts w:ascii="Times New Roman" w:hAnsi="Times New Roman" w:cs="Times New Roman"/>
          <w:lang w:val="en"/>
        </w:rPr>
        <w:t xml:space="preserve">LM38-LP or MCF10DCIS cells grown in complete medium on chamber slides were transfected with SPARC siRNA.  Subconfluent monolayers were gently washed with cold PBS and processed for immunofluorescence. Briefly, slides were fixed with </w:t>
      </w:r>
      <w:sdt>
        <w:sdtPr>
          <w:rPr>
            <w:rFonts w:ascii="Times New Roman" w:hAnsi="Times New Roman" w:cs="Times New Roman"/>
            <w:lang w:val="en"/>
          </w:rPr>
          <w:tag w:val="goog_rdk_35"/>
          <w:id w:val="-1178474622"/>
        </w:sdtPr>
        <w:sdtContent>
          <w:sdt>
            <w:sdtPr>
              <w:rPr>
                <w:rFonts w:ascii="Times New Roman" w:hAnsi="Times New Roman" w:cs="Times New Roman"/>
                <w:lang w:val="en"/>
              </w:rPr>
              <w:tag w:val="goog_rdk_36"/>
              <w:id w:val="-60645944"/>
            </w:sdtPr>
            <w:sdtContent>
              <w:r w:rsidRPr="00493AE7">
                <w:rPr>
                  <w:rFonts w:ascii="Times New Roman" w:hAnsi="Times New Roman" w:cs="Times New Roman"/>
                  <w:lang w:val="en"/>
                </w:rPr>
                <w:t xml:space="preserve">4% </w:t>
              </w:r>
            </w:sdtContent>
          </w:sdt>
        </w:sdtContent>
      </w:sdt>
      <w:r w:rsidRPr="00493AE7">
        <w:rPr>
          <w:rFonts w:ascii="Times New Roman" w:hAnsi="Times New Roman" w:cs="Times New Roman"/>
          <w:lang w:val="en"/>
        </w:rPr>
        <w:t xml:space="preserve">PFA in PBS for 15 minutes and permeabilized with </w:t>
      </w:r>
      <w:sdt>
        <w:sdtPr>
          <w:rPr>
            <w:rFonts w:ascii="Times New Roman" w:hAnsi="Times New Roman" w:cs="Times New Roman"/>
            <w:lang w:val="en"/>
          </w:rPr>
          <w:tag w:val="goog_rdk_38"/>
          <w:id w:val="100452803"/>
        </w:sdtPr>
        <w:sdtContent>
          <w:sdt>
            <w:sdtPr>
              <w:rPr>
                <w:rFonts w:ascii="Times New Roman" w:hAnsi="Times New Roman" w:cs="Times New Roman"/>
                <w:lang w:val="en"/>
              </w:rPr>
              <w:tag w:val="goog_rdk_39"/>
              <w:id w:val="1402820302"/>
            </w:sdtPr>
            <w:sdtContent>
              <w:r w:rsidRPr="00493AE7">
                <w:rPr>
                  <w:rFonts w:ascii="Times New Roman" w:hAnsi="Times New Roman" w:cs="Times New Roman"/>
                  <w:lang w:val="en"/>
                </w:rPr>
                <w:t>0.3%</w:t>
              </w:r>
            </w:sdtContent>
          </w:sdt>
        </w:sdtContent>
      </w:sdt>
      <w:sdt>
        <w:sdtPr>
          <w:rPr>
            <w:rFonts w:ascii="Times New Roman" w:hAnsi="Times New Roman" w:cs="Times New Roman"/>
            <w:lang w:val="en"/>
          </w:rPr>
          <w:tag w:val="goog_rdk_40"/>
          <w:id w:val="845234786"/>
        </w:sdtPr>
        <w:sdtContent>
          <w:r w:rsidRPr="00493AE7">
            <w:rPr>
              <w:rFonts w:ascii="Times New Roman" w:hAnsi="Times New Roman" w:cs="Times New Roman"/>
              <w:lang w:val="en"/>
            </w:rPr>
            <w:t xml:space="preserve"> </w:t>
          </w:r>
        </w:sdtContent>
      </w:sdt>
      <w:r w:rsidRPr="00493AE7">
        <w:rPr>
          <w:rFonts w:ascii="Times New Roman" w:hAnsi="Times New Roman" w:cs="Times New Roman"/>
          <w:lang w:val="en"/>
        </w:rPr>
        <w:t>Triton X-100, with a blocking solution containing 5% FBS in PBS for 1h at room temperature. Fixed cells were incubated overnight with the primary antibody and the following day fixed cells were incubated 2h with secondary antibody. Nuclei were counterstained with DAPI (Santa Cruz Biotechnology) and slides were observed in a Nikon EclipseTM E400 fluorescence microscope and photographed with a CoolpixH 995 digital camera. Mean Fluorescence (AU) was quantified by using Image J software.</w:t>
      </w:r>
    </w:p>
    <w:p w14:paraId="02D578F1" w14:textId="77777777" w:rsidR="008E50C9" w:rsidRDefault="008E50C9" w:rsidP="008E50C9">
      <w:pPr>
        <w:spacing w:line="360" w:lineRule="auto"/>
        <w:jc w:val="both"/>
        <w:rPr>
          <w:rFonts w:ascii="Times New Roman" w:hAnsi="Times New Roman" w:cs="Times New Roman"/>
          <w:lang w:val="en"/>
        </w:rPr>
      </w:pPr>
    </w:p>
    <w:p w14:paraId="528D69A0" w14:textId="77777777" w:rsidR="008E50C9" w:rsidRPr="00493AE7" w:rsidRDefault="008E50C9" w:rsidP="008E50C9">
      <w:pPr>
        <w:spacing w:line="360" w:lineRule="auto"/>
        <w:jc w:val="both"/>
        <w:rPr>
          <w:rFonts w:ascii="Times New Roman" w:hAnsi="Times New Roman" w:cs="Times New Roman"/>
          <w:b/>
          <w:lang w:val="en-GB"/>
        </w:rPr>
      </w:pPr>
      <w:r w:rsidRPr="00493AE7">
        <w:rPr>
          <w:rFonts w:ascii="Times New Roman" w:hAnsi="Times New Roman" w:cs="Times New Roman"/>
          <w:b/>
          <w:lang w:val="en-GB"/>
        </w:rPr>
        <w:t>Western blot assay</w:t>
      </w:r>
    </w:p>
    <w:p w14:paraId="161A022F" w14:textId="77777777" w:rsidR="008E50C9" w:rsidRPr="00493AE7" w:rsidRDefault="008E50C9" w:rsidP="008E50C9">
      <w:pPr>
        <w:spacing w:line="360" w:lineRule="auto"/>
        <w:jc w:val="both"/>
        <w:rPr>
          <w:rFonts w:ascii="Times New Roman" w:hAnsi="Times New Roman" w:cs="Times New Roman"/>
          <w:lang w:val="en-US"/>
        </w:rPr>
      </w:pPr>
      <w:r w:rsidRPr="00493AE7">
        <w:rPr>
          <w:rFonts w:ascii="Times New Roman" w:hAnsi="Times New Roman" w:cs="Times New Roman"/>
          <w:lang w:val="en"/>
        </w:rPr>
        <w:t>Subconfluent monolayers of tumor cells (LM38-LP or MCF10DCIS) were transfected with SPARC siRNA</w:t>
      </w:r>
      <w:r w:rsidRPr="00493AE7" w:rsidDel="00FE46DA">
        <w:rPr>
          <w:rFonts w:ascii="Times New Roman" w:hAnsi="Times New Roman" w:cs="Times New Roman"/>
          <w:lang w:val="en"/>
        </w:rPr>
        <w:t xml:space="preserve"> </w:t>
      </w:r>
      <w:r w:rsidRPr="00493AE7">
        <w:rPr>
          <w:rFonts w:ascii="Times New Roman" w:hAnsi="Times New Roman" w:cs="Times New Roman"/>
          <w:lang w:val="en"/>
        </w:rPr>
        <w:t>or were treated with or without SB431542. Samples were then processed for Western blot analysis.</w:t>
      </w:r>
      <w:r w:rsidRPr="00493AE7">
        <w:rPr>
          <w:rFonts w:ascii="Times New Roman" w:hAnsi="Times New Roman" w:cs="Times New Roman"/>
          <w:lang w:val="en-US"/>
        </w:rPr>
        <w:t xml:space="preserve"> Briefly, cells were gently washed with PBS and lysed using protein extraction lysis buffer (50 mM Tris-HCl (pH 8.0); 100 mM NaCl; 1% Triton, 1 mM aprotinin, 1 mM phenylmethylsulfonyl fluoride, 2 mg/ml leupeptin </w:t>
      </w:r>
      <w:r w:rsidRPr="00493AE7">
        <w:rPr>
          <w:rFonts w:ascii="Times New Roman" w:hAnsi="Times New Roman" w:cs="Times New Roman"/>
          <w:lang w:val="en-US"/>
        </w:rPr>
        <w:lastRenderedPageBreak/>
        <w:t xml:space="preserve">and 10 mM EDTA/EGTA). Protein concentration was determined by Bradford method according to the manufacturer’s instruction (Merk). Aliquots from the cell lysates were separated by electrophoresis and analyzed in 10% sodium dodecyl sulfate-polyacrylamide gel (SDS-PAGE) and transferred onto a PVDF membrane. After blotting, the membrane was incubated with primary antibody followed by a horseradish peroxidase conjugated secondary antibody, for 1 h at room temperature. Blots were developed using the ECL detection kit and ImageQuant LAS 500 CCD imager (GE Life sciences). Membranes were stripped and incubated overnight with </w:t>
      </w:r>
      <w:r w:rsidRPr="00493AE7">
        <w:rPr>
          <w:rFonts w:ascii="Times New Roman" w:hAnsi="Times New Roman" w:cs="Times New Roman"/>
          <w:lang w:val="en"/>
        </w:rPr>
        <w:t>an anti-tubulin antibody as a loading control</w:t>
      </w:r>
      <w:r w:rsidRPr="00493AE7">
        <w:rPr>
          <w:rFonts w:ascii="Times New Roman" w:hAnsi="Times New Roman" w:cs="Times New Roman"/>
          <w:lang w:val="en-US"/>
        </w:rPr>
        <w:t xml:space="preserve">.  </w:t>
      </w:r>
    </w:p>
    <w:p w14:paraId="7ED2947F" w14:textId="77777777" w:rsidR="008E50C9" w:rsidRPr="00493AE7" w:rsidRDefault="008E50C9" w:rsidP="008E50C9">
      <w:pPr>
        <w:spacing w:line="360" w:lineRule="auto"/>
        <w:jc w:val="both"/>
        <w:rPr>
          <w:rFonts w:ascii="Times New Roman" w:hAnsi="Times New Roman" w:cs="Times New Roman"/>
          <w:lang w:val="en-US"/>
        </w:rPr>
      </w:pPr>
    </w:p>
    <w:p w14:paraId="6F97BAA7" w14:textId="77777777" w:rsidR="008E50C9" w:rsidRPr="00893A65" w:rsidRDefault="008E50C9" w:rsidP="008E50C9">
      <w:pPr>
        <w:spacing w:line="360" w:lineRule="auto"/>
        <w:jc w:val="both"/>
        <w:rPr>
          <w:rFonts w:ascii="Times New Roman" w:hAnsi="Times New Roman" w:cs="Times New Roman"/>
          <w:b/>
          <w:lang w:val="en-US"/>
        </w:rPr>
      </w:pPr>
      <w:r w:rsidRPr="00893A65">
        <w:rPr>
          <w:rFonts w:ascii="Times New Roman" w:hAnsi="Times New Roman" w:cs="Times New Roman"/>
          <w:b/>
          <w:lang w:val="en-US"/>
        </w:rPr>
        <w:t>Antibodies</w:t>
      </w:r>
    </w:p>
    <w:p w14:paraId="2AE095E0" w14:textId="77777777" w:rsidR="008E50C9" w:rsidRDefault="008E50C9" w:rsidP="008E50C9">
      <w:pPr>
        <w:spacing w:line="360" w:lineRule="auto"/>
        <w:jc w:val="both"/>
        <w:rPr>
          <w:rFonts w:ascii="Times New Roman" w:hAnsi="Times New Roman" w:cs="Times New Roman"/>
          <w:lang w:val="en-GB"/>
        </w:rPr>
      </w:pPr>
      <w:r w:rsidRPr="00893A65">
        <w:rPr>
          <w:rFonts w:ascii="Times New Roman" w:hAnsi="Times New Roman" w:cs="Times New Roman"/>
          <w:lang w:val="en-GB"/>
        </w:rPr>
        <w:t xml:space="preserve">Antibodies for immunofluorescence and IHC (conventional or Immunofluorescence) analysis on tissue sections, the following primary antibodies were used: anti-human MT1-MMP (clone LEM-2/15.8, Millipore MAB3328, 1/100) anti-mouse MT1-MMP (PA5-13183, Invitrogen, 1/500), Ki-67 (clone MIB-1, Dako, 1/100), anti-human SPARC (GTX133747 GeneTex), anti-mouse SPARC (PA-5-80062, Invitrogen, 1/500), anti-SMAD-4 (sc-7966, Santa Cruz, 1/200), anti-ki67 (ab1558, Abcam, 1/500), anti-Progesterone receptor A/B (#8757, Cell Signaling, 1/100), anti-Estrogen receptor alfa (sc-542, Santa Cruz, 1/100), anti-HER2/neu (Clon, 4B5, VENTANA anti-HER2/neu, Roche). For immunofluorescence staining of cells in culture: F-actin was stained with Alexa546-phalloidin (A22283, Life technologies, 1/1000) and nuclei with 4',6-diamidino-2-phenylindole (sc-3598, Santa Cruz, 1 </w:t>
      </w:r>
      <w:r w:rsidRPr="00893A65">
        <w:rPr>
          <w:rFonts w:ascii="Times New Roman" w:hAnsi="Times New Roman" w:cs="Times New Roman"/>
        </w:rPr>
        <w:t>μ</w:t>
      </w:r>
      <w:r w:rsidRPr="00893A65">
        <w:rPr>
          <w:rFonts w:ascii="Times New Roman" w:hAnsi="Times New Roman" w:cs="Times New Roman"/>
          <w:lang w:val="en-GB"/>
        </w:rPr>
        <w:t xml:space="preserve">g/ml). Secondary antibodies </w:t>
      </w:r>
      <w:r w:rsidRPr="00893A65">
        <w:rPr>
          <w:rFonts w:ascii="Times New Roman" w:hAnsi="Times New Roman" w:cs="Times New Roman"/>
          <w:lang w:val="en-US"/>
        </w:rPr>
        <w:t>Goat anti-rabbit A488 (ab150077, abcam, 1/500) or anti mouse A488 (ab150113, abcam, 1/500) were used</w:t>
      </w:r>
      <w:r w:rsidRPr="00893A65">
        <w:rPr>
          <w:rFonts w:ascii="Times New Roman" w:hAnsi="Times New Roman" w:cs="Times New Roman"/>
          <w:lang w:val="en-GB"/>
        </w:rPr>
        <w:t xml:space="preserve">. For immunoblotting analysis, we used anti p-SMAD 2/3 (Cell Signalling, D27F4 1/500) anti-SMAD 2/3 (sc-133098, Santa Cruz, 1/100), anti-MT1-MMP (clone MAB3328, Millipore, 1/500), </w:t>
      </w:r>
      <w:r w:rsidRPr="00893A65">
        <w:rPr>
          <w:rFonts w:ascii="Times New Roman" w:hAnsi="Times New Roman" w:cs="Times New Roman"/>
        </w:rPr>
        <w:t>β</w:t>
      </w:r>
      <w:r w:rsidRPr="00893A65">
        <w:rPr>
          <w:rFonts w:ascii="Times New Roman" w:hAnsi="Times New Roman" w:cs="Times New Roman"/>
          <w:lang w:val="en-GB"/>
        </w:rPr>
        <w:t>-tubulin (#2146, Cell Signalling, 1/3000) and detection was performed with anti-rabbit IgG Mouse-HRP (RD#HAF007, R&amp;D Systems, 1/5000) or anti-mouse IgG Rabbit-HRP (RD#HAF008, R&amp;D Systems, 1/5000).</w:t>
      </w:r>
    </w:p>
    <w:p w14:paraId="04E279EF" w14:textId="77777777" w:rsidR="008E50C9" w:rsidRDefault="008E50C9" w:rsidP="008E50C9">
      <w:pPr>
        <w:spacing w:line="360" w:lineRule="auto"/>
        <w:jc w:val="both"/>
        <w:rPr>
          <w:rFonts w:ascii="Times New Roman" w:hAnsi="Times New Roman" w:cs="Times New Roman"/>
          <w:lang w:val="en-GB"/>
        </w:rPr>
      </w:pPr>
    </w:p>
    <w:p w14:paraId="7F6C8B34" w14:textId="77777777" w:rsidR="008E50C9" w:rsidRPr="0008615B" w:rsidRDefault="008E50C9" w:rsidP="008E50C9">
      <w:pPr>
        <w:spacing w:line="360" w:lineRule="auto"/>
        <w:jc w:val="both"/>
        <w:rPr>
          <w:rFonts w:ascii="Times New Roman" w:hAnsi="Times New Roman" w:cs="Times New Roman"/>
          <w:b/>
          <w:lang w:val="en-GB"/>
        </w:rPr>
      </w:pPr>
      <w:r>
        <w:rPr>
          <w:rFonts w:ascii="Times New Roman" w:hAnsi="Times New Roman" w:cs="Times New Roman"/>
          <w:b/>
          <w:lang w:val="en-GB"/>
        </w:rPr>
        <w:t>Supplementary f</w:t>
      </w:r>
      <w:r w:rsidRPr="0008615B">
        <w:rPr>
          <w:rFonts w:ascii="Times New Roman" w:hAnsi="Times New Roman" w:cs="Times New Roman"/>
          <w:b/>
          <w:lang w:val="en-GB"/>
        </w:rPr>
        <w:t>igure legends</w:t>
      </w:r>
    </w:p>
    <w:p w14:paraId="022551BD" w14:textId="77777777" w:rsidR="008E50C9" w:rsidRDefault="008E50C9" w:rsidP="008E50C9">
      <w:pPr>
        <w:spacing w:line="360" w:lineRule="auto"/>
        <w:jc w:val="both"/>
        <w:rPr>
          <w:rFonts w:ascii="Times New Roman" w:hAnsi="Times New Roman" w:cs="Times New Roman"/>
          <w:lang w:val="en-GB"/>
        </w:rPr>
      </w:pPr>
      <w:r w:rsidRPr="00861536">
        <w:rPr>
          <w:rFonts w:ascii="Times New Roman" w:hAnsi="Times New Roman" w:cs="Times New Roman"/>
          <w:noProof/>
          <w:lang w:val="en-GB"/>
        </w:rPr>
        <w:lastRenderedPageBreak/>
        <w:drawing>
          <wp:inline distT="0" distB="0" distL="0" distR="0" wp14:anchorId="19FB69B8" wp14:editId="5D1380D3">
            <wp:extent cx="5400675" cy="28836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675" cy="2883601"/>
                    </a:xfrm>
                    <a:prstGeom prst="rect">
                      <a:avLst/>
                    </a:prstGeom>
                    <a:noFill/>
                    <a:ln>
                      <a:noFill/>
                    </a:ln>
                  </pic:spPr>
                </pic:pic>
              </a:graphicData>
            </a:graphic>
          </wp:inline>
        </w:drawing>
      </w:r>
    </w:p>
    <w:p w14:paraId="6CBD7F46" w14:textId="77777777" w:rsidR="008E50C9" w:rsidRDefault="008E50C9" w:rsidP="008E50C9">
      <w:pPr>
        <w:spacing w:line="360" w:lineRule="auto"/>
        <w:jc w:val="both"/>
        <w:rPr>
          <w:rFonts w:ascii="Times New Roman" w:hAnsi="Times New Roman" w:cs="Times New Roman"/>
          <w:bCs/>
          <w:lang w:val="en-GB"/>
        </w:rPr>
      </w:pPr>
      <w:r w:rsidRPr="0008615B">
        <w:rPr>
          <w:rFonts w:ascii="Times New Roman" w:hAnsi="Times New Roman" w:cs="Times New Roman"/>
          <w:b/>
          <w:lang w:val="en-GB"/>
        </w:rPr>
        <w:t>Figure supplementary 1.</w:t>
      </w:r>
      <w:r w:rsidRPr="0008615B">
        <w:rPr>
          <w:rFonts w:ascii="Times New Roman" w:hAnsi="Times New Roman" w:cs="Times New Roman"/>
          <w:lang w:val="en-GB"/>
        </w:rPr>
        <w:t xml:space="preserve"> </w:t>
      </w:r>
      <w:r w:rsidRPr="0008615B">
        <w:rPr>
          <w:rFonts w:ascii="Times New Roman" w:hAnsi="Times New Roman" w:cs="Times New Roman"/>
          <w:b/>
          <w:bCs/>
          <w:lang w:val="en-GB"/>
        </w:rPr>
        <w:t>SPARC expression in advanced stages. A.</w:t>
      </w:r>
      <w:r w:rsidRPr="0008615B">
        <w:rPr>
          <w:rFonts w:ascii="Times New Roman" w:hAnsi="Times New Roman" w:cs="Times New Roman"/>
          <w:bCs/>
          <w:lang w:val="en-GB"/>
        </w:rPr>
        <w:t xml:space="preserve"> SPARC levels using the H-score method in the adjacent peritumoral tissues, invasive breast carcinomas and in lymph node metastasis (LNM) in Roffo’s cohort. </w:t>
      </w:r>
      <w:r w:rsidRPr="0008615B">
        <w:rPr>
          <w:rFonts w:ascii="Times New Roman" w:hAnsi="Times New Roman" w:cs="Times New Roman"/>
          <w:bCs/>
          <w:lang w:val="en-US"/>
        </w:rPr>
        <w:t xml:space="preserve">EPI vs IDC** p=0.0031, IDC vs LNM* p= 0.0450 Kruskal-Wallis test. </w:t>
      </w:r>
      <w:r w:rsidRPr="0008615B">
        <w:rPr>
          <w:rFonts w:ascii="Times New Roman" w:hAnsi="Times New Roman" w:cs="Times New Roman"/>
          <w:b/>
          <w:bCs/>
          <w:lang w:val="en-GB"/>
        </w:rPr>
        <w:t>B.</w:t>
      </w:r>
      <w:r w:rsidRPr="0008615B">
        <w:rPr>
          <w:rFonts w:ascii="Times New Roman" w:hAnsi="Times New Roman" w:cs="Times New Roman"/>
          <w:bCs/>
          <w:lang w:val="en-GB"/>
        </w:rPr>
        <w:t xml:space="preserve"> Proportion of negative or positive tumors for SPARC </w:t>
      </w:r>
      <w:r w:rsidRPr="0008615B">
        <w:rPr>
          <w:rFonts w:ascii="Times New Roman" w:hAnsi="Times New Roman" w:cs="Times New Roman"/>
          <w:bCs/>
          <w:lang w:val="en-US"/>
        </w:rPr>
        <w:t>EPI vs IDC, **p=0.0017, IDC vs LNM *p= 0.03, X</w:t>
      </w:r>
      <w:r w:rsidRPr="0008615B">
        <w:rPr>
          <w:rFonts w:ascii="Times New Roman" w:hAnsi="Times New Roman" w:cs="Times New Roman"/>
          <w:bCs/>
          <w:vertAlign w:val="superscript"/>
          <w:lang w:val="en-US"/>
        </w:rPr>
        <w:t>2</w:t>
      </w:r>
      <w:r w:rsidRPr="0008615B">
        <w:rPr>
          <w:rFonts w:ascii="Times New Roman" w:hAnsi="Times New Roman" w:cs="Times New Roman"/>
          <w:bCs/>
          <w:lang w:val="en-US"/>
        </w:rPr>
        <w:t xml:space="preserve"> test, two-side. </w:t>
      </w:r>
      <w:r w:rsidRPr="0008615B">
        <w:rPr>
          <w:rFonts w:ascii="Times New Roman" w:hAnsi="Times New Roman" w:cs="Times New Roman"/>
          <w:b/>
          <w:bCs/>
          <w:lang w:val="en-US"/>
        </w:rPr>
        <w:t>C</w:t>
      </w:r>
      <w:r w:rsidRPr="0008615B">
        <w:rPr>
          <w:rFonts w:ascii="Times New Roman" w:hAnsi="Times New Roman" w:cs="Times New Roman"/>
          <w:bCs/>
          <w:lang w:val="en-US"/>
        </w:rPr>
        <w:t xml:space="preserve">. </w:t>
      </w:r>
      <w:r w:rsidRPr="0008615B">
        <w:rPr>
          <w:rFonts w:ascii="Times New Roman" w:hAnsi="Times New Roman" w:cs="Times New Roman"/>
          <w:bCs/>
          <w:lang w:val="en-GB"/>
        </w:rPr>
        <w:t xml:space="preserve">Representative SPARC IHC staining in lymph node metastasis. </w:t>
      </w:r>
      <w:r w:rsidRPr="0008615B">
        <w:rPr>
          <w:rFonts w:ascii="Times New Roman" w:hAnsi="Times New Roman" w:cs="Times New Roman"/>
          <w:b/>
          <w:bCs/>
          <w:lang w:val="en-GB"/>
        </w:rPr>
        <w:t>D</w:t>
      </w:r>
      <w:r w:rsidRPr="0008615B">
        <w:rPr>
          <w:rFonts w:ascii="Times New Roman" w:hAnsi="Times New Roman" w:cs="Times New Roman"/>
          <w:bCs/>
          <w:lang w:val="en-GB"/>
        </w:rPr>
        <w:t xml:space="preserve">. Metastasis-free survival (MFS) curves for IDC tumor patients with low and high SPARC expression by IHQ. </w:t>
      </w:r>
    </w:p>
    <w:p w14:paraId="3CC88270" w14:textId="77777777" w:rsidR="008E50C9" w:rsidRPr="0008615B" w:rsidRDefault="008E50C9" w:rsidP="008E50C9">
      <w:pPr>
        <w:spacing w:line="360" w:lineRule="auto"/>
        <w:jc w:val="both"/>
        <w:rPr>
          <w:rFonts w:ascii="Times New Roman" w:hAnsi="Times New Roman" w:cs="Times New Roman"/>
          <w:bCs/>
          <w:lang w:val="en-GB"/>
        </w:rPr>
      </w:pPr>
      <w:r w:rsidRPr="003D2153">
        <w:rPr>
          <w:rFonts w:ascii="Times New Roman" w:hAnsi="Times New Roman" w:cs="Times New Roman"/>
          <w:bCs/>
          <w:noProof/>
          <w:lang w:val="en-GB"/>
        </w:rPr>
        <w:lastRenderedPageBreak/>
        <w:drawing>
          <wp:inline distT="0" distB="0" distL="0" distR="0" wp14:anchorId="5041F558" wp14:editId="0D6E10E1">
            <wp:extent cx="5400675" cy="4514639"/>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675" cy="4514639"/>
                    </a:xfrm>
                    <a:prstGeom prst="rect">
                      <a:avLst/>
                    </a:prstGeom>
                    <a:noFill/>
                    <a:ln>
                      <a:noFill/>
                    </a:ln>
                  </pic:spPr>
                </pic:pic>
              </a:graphicData>
            </a:graphic>
          </wp:inline>
        </w:drawing>
      </w:r>
    </w:p>
    <w:p w14:paraId="7340E3B8" w14:textId="77777777" w:rsidR="008E50C9" w:rsidRDefault="008E50C9" w:rsidP="008E50C9">
      <w:pPr>
        <w:spacing w:line="360" w:lineRule="auto"/>
        <w:jc w:val="both"/>
        <w:rPr>
          <w:rFonts w:ascii="Times New Roman" w:hAnsi="Times New Roman" w:cs="Times New Roman"/>
          <w:bCs/>
          <w:lang w:val="en-GB"/>
        </w:rPr>
      </w:pPr>
      <w:r w:rsidRPr="0008615B">
        <w:rPr>
          <w:rFonts w:ascii="Times New Roman" w:hAnsi="Times New Roman" w:cs="Times New Roman"/>
          <w:b/>
          <w:bCs/>
          <w:lang w:val="en-GB"/>
        </w:rPr>
        <w:t>Figure supplementary 2. SPARC and MT1-MMP expression in cell line collection A</w:t>
      </w:r>
      <w:r w:rsidRPr="0008615B">
        <w:rPr>
          <w:rFonts w:ascii="Times New Roman" w:hAnsi="Times New Roman" w:cs="Times New Roman"/>
          <w:bCs/>
          <w:lang w:val="en-GB"/>
        </w:rPr>
        <w:t xml:space="preserve">. Expression levels of MT1-MMP (left panel) and SPARC (right panel) in a collection of breast cancer cell lines from the GSE48213 dataset, categorized by Luminal (blue) and Basal (red) subtypes. </w:t>
      </w:r>
      <w:r w:rsidRPr="0008615B">
        <w:rPr>
          <w:rFonts w:ascii="Times New Roman" w:hAnsi="Times New Roman" w:cs="Times New Roman"/>
          <w:b/>
          <w:bCs/>
          <w:lang w:val="en-GB"/>
        </w:rPr>
        <w:t>B.</w:t>
      </w:r>
      <w:r w:rsidRPr="0008615B">
        <w:rPr>
          <w:rFonts w:ascii="Times New Roman" w:hAnsi="Times New Roman" w:cs="Times New Roman"/>
          <w:bCs/>
          <w:lang w:val="en-GB"/>
        </w:rPr>
        <w:t xml:space="preserve"> Metastasis-free survival (MFS) curves for breast tumor patients with low and high MT1-MMP (left panel, p=0.014) SPARC mRNA expression (middle panel, NS) and the combination of both markers (NS) mRNA expression as compared with normal breast tissue. The 458 breast tumors were divided into two groups with low (&lt;3) and high (&gt;3) for both markers. </w:t>
      </w:r>
    </w:p>
    <w:p w14:paraId="1B6CEC4D" w14:textId="77777777" w:rsidR="008E50C9" w:rsidRDefault="008E50C9" w:rsidP="008E50C9">
      <w:pPr>
        <w:spacing w:line="360" w:lineRule="auto"/>
        <w:jc w:val="both"/>
        <w:rPr>
          <w:rFonts w:ascii="Times New Roman" w:hAnsi="Times New Roman" w:cs="Times New Roman"/>
          <w:bCs/>
          <w:lang w:val="en-GB"/>
        </w:rPr>
      </w:pPr>
    </w:p>
    <w:p w14:paraId="3CB21386" w14:textId="77777777" w:rsidR="008E50C9" w:rsidRPr="0008615B" w:rsidRDefault="008E50C9" w:rsidP="008E50C9">
      <w:pPr>
        <w:spacing w:line="360" w:lineRule="auto"/>
        <w:jc w:val="both"/>
        <w:rPr>
          <w:rFonts w:ascii="Times New Roman" w:hAnsi="Times New Roman" w:cs="Times New Roman"/>
          <w:bCs/>
          <w:lang w:val="en-GB"/>
        </w:rPr>
      </w:pPr>
      <w:r w:rsidRPr="003D2153">
        <w:rPr>
          <w:rFonts w:ascii="Times New Roman" w:hAnsi="Times New Roman" w:cs="Times New Roman"/>
          <w:bCs/>
          <w:noProof/>
          <w:lang w:val="en-GB"/>
        </w:rPr>
        <w:lastRenderedPageBreak/>
        <w:drawing>
          <wp:inline distT="0" distB="0" distL="0" distR="0" wp14:anchorId="528A4E65" wp14:editId="1EEE5D8C">
            <wp:extent cx="5400675" cy="6870267"/>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675" cy="6870267"/>
                    </a:xfrm>
                    <a:prstGeom prst="rect">
                      <a:avLst/>
                    </a:prstGeom>
                    <a:noFill/>
                    <a:ln>
                      <a:noFill/>
                    </a:ln>
                  </pic:spPr>
                </pic:pic>
              </a:graphicData>
            </a:graphic>
          </wp:inline>
        </w:drawing>
      </w:r>
    </w:p>
    <w:p w14:paraId="16A3D572" w14:textId="77777777" w:rsidR="008E50C9" w:rsidRDefault="008E50C9" w:rsidP="008E50C9">
      <w:pPr>
        <w:spacing w:line="360" w:lineRule="auto"/>
        <w:jc w:val="both"/>
        <w:rPr>
          <w:rFonts w:ascii="Times New Roman" w:hAnsi="Times New Roman" w:cs="Times New Roman"/>
          <w:lang w:val="en-GB"/>
        </w:rPr>
      </w:pPr>
      <w:r w:rsidRPr="0008615B">
        <w:rPr>
          <w:rFonts w:ascii="Times New Roman" w:hAnsi="Times New Roman" w:cs="Times New Roman"/>
          <w:b/>
          <w:lang w:val="en-GB"/>
        </w:rPr>
        <w:t xml:space="preserve">Figure supplementary 3. A new syngenic intraductal model. A. </w:t>
      </w:r>
      <w:r w:rsidRPr="0008615B">
        <w:rPr>
          <w:rFonts w:ascii="Times New Roman" w:hAnsi="Times New Roman" w:cs="Times New Roman"/>
          <w:lang w:val="en-GB"/>
        </w:rPr>
        <w:t xml:space="preserve">LM38-LP intraductal model characterization. </w:t>
      </w:r>
      <w:r w:rsidRPr="0008615B">
        <w:rPr>
          <w:rFonts w:ascii="Times New Roman" w:hAnsi="Times New Roman" w:cs="Times New Roman"/>
          <w:lang w:val="en-US"/>
        </w:rPr>
        <w:t xml:space="preserve">Balb/c mice were intra-nipple injected with LM38-LP cells in the foth mammary glands. Whole-mount and H&amp;E images of </w:t>
      </w:r>
      <w:r w:rsidRPr="0008615B">
        <w:rPr>
          <w:rFonts w:ascii="Times New Roman" w:hAnsi="Times New Roman" w:cs="Times New Roman"/>
          <w:i/>
          <w:lang w:val="en-US"/>
        </w:rPr>
        <w:t>in situ</w:t>
      </w:r>
      <w:r w:rsidRPr="0008615B">
        <w:rPr>
          <w:rFonts w:ascii="Times New Roman" w:hAnsi="Times New Roman" w:cs="Times New Roman"/>
          <w:lang w:val="en-US"/>
        </w:rPr>
        <w:t xml:space="preserve">, microinvasive and invasive stage of tumors, at 3, 4 and 5 weeks respectively after intraductal inoculation. </w:t>
      </w:r>
      <w:r w:rsidRPr="0008615B">
        <w:rPr>
          <w:rFonts w:ascii="Times New Roman" w:hAnsi="Times New Roman" w:cs="Times New Roman"/>
          <w:lang w:val="en-GB"/>
        </w:rPr>
        <w:t>Scale bar: 50 µm.</w:t>
      </w:r>
      <w:r w:rsidRPr="0008615B">
        <w:rPr>
          <w:rFonts w:ascii="Times New Roman" w:hAnsi="Times New Roman" w:cs="Times New Roman"/>
          <w:b/>
          <w:lang w:val="en-US"/>
        </w:rPr>
        <w:t xml:space="preserve"> B.</w:t>
      </w:r>
      <w:r w:rsidRPr="0008615B">
        <w:rPr>
          <w:rFonts w:ascii="Times New Roman" w:hAnsi="Times New Roman" w:cs="Times New Roman"/>
          <w:lang w:val="en-US"/>
        </w:rPr>
        <w:t xml:space="preserve">  Representative ER, PR and HER2/neu IHC staining in invasive tumors after intraductal injection of LM38-LP. Insets corresponds to positive </w:t>
      </w:r>
      <w:r w:rsidRPr="0008615B">
        <w:rPr>
          <w:rFonts w:ascii="Times New Roman" w:hAnsi="Times New Roman" w:cs="Times New Roman"/>
          <w:lang w:val="en-US"/>
        </w:rPr>
        <w:lastRenderedPageBreak/>
        <w:t xml:space="preserve">corresponding control: normal epithelial duct (PR and ER) and Positive HER2/neu breast tumor. Scale bar: 100 µm. </w:t>
      </w:r>
      <w:r w:rsidRPr="0008615B">
        <w:rPr>
          <w:rFonts w:ascii="Times New Roman" w:hAnsi="Times New Roman" w:cs="Times New Roman"/>
          <w:b/>
          <w:lang w:val="en-US"/>
        </w:rPr>
        <w:t>C.</w:t>
      </w:r>
      <w:r w:rsidRPr="0008615B">
        <w:rPr>
          <w:rFonts w:ascii="Times New Roman" w:hAnsi="Times New Roman" w:cs="Times New Roman"/>
          <w:lang w:val="en-US"/>
        </w:rPr>
        <w:t xml:space="preserve"> </w:t>
      </w:r>
      <w:r w:rsidRPr="0008615B">
        <w:rPr>
          <w:rFonts w:ascii="Times New Roman" w:hAnsi="Times New Roman" w:cs="Times New Roman"/>
          <w:lang w:val="en-GB"/>
        </w:rPr>
        <w:t xml:space="preserve">Immunofluorescence analysis of </w:t>
      </w:r>
      <w:r w:rsidRPr="0008615B">
        <w:rPr>
          <w:rFonts w:ascii="Times New Roman" w:hAnsi="Times New Roman" w:cs="Times New Roman"/>
        </w:rPr>
        <w:t>α</w:t>
      </w:r>
      <w:r w:rsidRPr="0008615B">
        <w:rPr>
          <w:rFonts w:ascii="Times New Roman" w:hAnsi="Times New Roman" w:cs="Times New Roman"/>
          <w:lang w:val="en-GB"/>
        </w:rPr>
        <w:t xml:space="preserve">-SMA (red) and DAPI (blue) in </w:t>
      </w:r>
      <w:r w:rsidRPr="0008615B">
        <w:rPr>
          <w:rFonts w:ascii="Times New Roman" w:hAnsi="Times New Roman" w:cs="Times New Roman"/>
          <w:i/>
          <w:lang w:val="en-GB"/>
        </w:rPr>
        <w:t>in situ</w:t>
      </w:r>
      <w:r w:rsidRPr="0008615B">
        <w:rPr>
          <w:rFonts w:ascii="Times New Roman" w:hAnsi="Times New Roman" w:cs="Times New Roman"/>
          <w:lang w:val="en-GB"/>
        </w:rPr>
        <w:t xml:space="preserve"> (upper panel) or invasive (lower panel). Scale bar: 50 µm.</w:t>
      </w:r>
    </w:p>
    <w:p w14:paraId="2640411F" w14:textId="77777777" w:rsidR="008E50C9" w:rsidRDefault="008E50C9" w:rsidP="008E50C9">
      <w:pPr>
        <w:spacing w:line="360" w:lineRule="auto"/>
        <w:jc w:val="both"/>
        <w:rPr>
          <w:rFonts w:ascii="Times New Roman" w:hAnsi="Times New Roman" w:cs="Times New Roman"/>
          <w:b/>
          <w:lang w:val="en-GB"/>
        </w:rPr>
      </w:pPr>
    </w:p>
    <w:p w14:paraId="0A0EF96A" w14:textId="77777777" w:rsidR="008E50C9" w:rsidRPr="0008615B" w:rsidRDefault="008E50C9" w:rsidP="008E50C9">
      <w:pPr>
        <w:spacing w:line="360" w:lineRule="auto"/>
        <w:jc w:val="both"/>
        <w:rPr>
          <w:rFonts w:ascii="Times New Roman" w:hAnsi="Times New Roman" w:cs="Times New Roman"/>
          <w:b/>
          <w:lang w:val="en-GB"/>
        </w:rPr>
      </w:pPr>
      <w:r w:rsidRPr="003D2153">
        <w:rPr>
          <w:rFonts w:ascii="Times New Roman" w:hAnsi="Times New Roman" w:cs="Times New Roman"/>
          <w:b/>
          <w:noProof/>
          <w:lang w:val="en-GB"/>
        </w:rPr>
        <w:drawing>
          <wp:inline distT="0" distB="0" distL="0" distR="0" wp14:anchorId="39878A11" wp14:editId="1FC88F96">
            <wp:extent cx="5400675" cy="305629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675" cy="3056292"/>
                    </a:xfrm>
                    <a:prstGeom prst="rect">
                      <a:avLst/>
                    </a:prstGeom>
                    <a:noFill/>
                    <a:ln>
                      <a:noFill/>
                    </a:ln>
                  </pic:spPr>
                </pic:pic>
              </a:graphicData>
            </a:graphic>
          </wp:inline>
        </w:drawing>
      </w:r>
    </w:p>
    <w:p w14:paraId="7B82FEFE" w14:textId="77777777" w:rsidR="008E50C9" w:rsidRDefault="008E50C9" w:rsidP="008E50C9">
      <w:pPr>
        <w:spacing w:line="360" w:lineRule="auto"/>
        <w:jc w:val="both"/>
        <w:rPr>
          <w:rFonts w:ascii="Times New Roman" w:hAnsi="Times New Roman" w:cs="Times New Roman"/>
          <w:lang w:val="en-GB"/>
        </w:rPr>
      </w:pPr>
      <w:r w:rsidRPr="0008615B">
        <w:rPr>
          <w:rFonts w:ascii="Times New Roman" w:hAnsi="Times New Roman" w:cs="Times New Roman"/>
          <w:b/>
          <w:lang w:val="en-GB"/>
        </w:rPr>
        <w:t xml:space="preserve">Figure supplementary 4. Knockdown of SPARC by RNAi did not affect cell proliferation or morphology. A. </w:t>
      </w:r>
      <w:r w:rsidRPr="0008615B">
        <w:rPr>
          <w:rFonts w:ascii="Times New Roman" w:hAnsi="Times New Roman" w:cs="Times New Roman"/>
          <w:lang w:val="en-GB"/>
        </w:rPr>
        <w:t xml:space="preserve">Immunofluorescence staining for MT1-MMP (red) and SPARC (red) expression in LM38-LP and MCF10DCIS wild type cells. Scale bar: 10 µm. </w:t>
      </w:r>
      <w:r w:rsidRPr="0008615B">
        <w:rPr>
          <w:rFonts w:ascii="Times New Roman" w:hAnsi="Times New Roman" w:cs="Times New Roman"/>
          <w:b/>
          <w:lang w:val="en-GB"/>
        </w:rPr>
        <w:t xml:space="preserve">B. </w:t>
      </w:r>
      <w:r w:rsidRPr="0008615B">
        <w:rPr>
          <w:rFonts w:ascii="Times New Roman" w:hAnsi="Times New Roman" w:cs="Times New Roman"/>
          <w:lang w:val="en-GB"/>
        </w:rPr>
        <w:t xml:space="preserve">Contrast face images illustrating morphology of LM38-LP and MCF10DCIS cells transiently silenced or not for SPARC. Scale bar: 50 µm. </w:t>
      </w:r>
      <w:r w:rsidRPr="0008615B">
        <w:rPr>
          <w:rFonts w:ascii="Times New Roman" w:hAnsi="Times New Roman" w:cs="Times New Roman"/>
          <w:b/>
          <w:lang w:val="en-GB"/>
        </w:rPr>
        <w:t xml:space="preserve">C. </w:t>
      </w:r>
      <w:r w:rsidRPr="0008615B">
        <w:rPr>
          <w:rFonts w:ascii="Times New Roman" w:hAnsi="Times New Roman" w:cs="Times New Roman"/>
          <w:lang w:val="en-GB"/>
        </w:rPr>
        <w:t xml:space="preserve">Quantification of viable Trypan blue LM38-LP and MCF10DCIS cells transiently silenced or not for SPARC. </w:t>
      </w:r>
      <w:r w:rsidRPr="0008615B">
        <w:rPr>
          <w:rFonts w:ascii="Times New Roman" w:hAnsi="Times New Roman" w:cs="Times New Roman"/>
          <w:b/>
          <w:lang w:val="en-GB"/>
        </w:rPr>
        <w:t>D</w:t>
      </w:r>
      <w:r w:rsidRPr="0008615B">
        <w:rPr>
          <w:rFonts w:ascii="Times New Roman" w:hAnsi="Times New Roman" w:cs="Times New Roman"/>
          <w:lang w:val="en-GB"/>
        </w:rPr>
        <w:t xml:space="preserve">. Immunofluorescence staining for MT1-MMP (red) and SPARC (red) expression in MCF10DCIS cells transiently silenced or not for SPARC. Scale bar 10 um. </w:t>
      </w:r>
      <w:r w:rsidRPr="0008615B">
        <w:rPr>
          <w:rFonts w:ascii="Times New Roman" w:hAnsi="Times New Roman" w:cs="Times New Roman"/>
          <w:b/>
          <w:lang w:val="en-GB"/>
        </w:rPr>
        <w:t>E</w:t>
      </w:r>
      <w:r w:rsidRPr="0008615B">
        <w:rPr>
          <w:rFonts w:ascii="Times New Roman" w:hAnsi="Times New Roman" w:cs="Times New Roman"/>
          <w:lang w:val="en-GB"/>
        </w:rPr>
        <w:t xml:space="preserve">. Quantification of fluorescent signal for MT1-MMP and SPARC expression in MCF10DCIS cells transiently silenced or not for SPARC. </w:t>
      </w:r>
      <w:r w:rsidRPr="0008615B">
        <w:rPr>
          <w:rFonts w:ascii="Times New Roman" w:hAnsi="Times New Roman" w:cs="Times New Roman"/>
          <w:lang w:val="en-US"/>
        </w:rPr>
        <w:t>*** p&lt;0.0001 and *p&lt;0.05</w:t>
      </w:r>
      <w:r w:rsidRPr="0008615B">
        <w:rPr>
          <w:rFonts w:ascii="Times New Roman" w:hAnsi="Times New Roman" w:cs="Times New Roman"/>
          <w:lang w:val="en-GB"/>
        </w:rPr>
        <w:t xml:space="preserve"> </w:t>
      </w:r>
      <w:r w:rsidRPr="0008615B">
        <w:rPr>
          <w:rFonts w:ascii="Times New Roman" w:hAnsi="Times New Roman" w:cs="Times New Roman"/>
          <w:lang w:val="en-US"/>
        </w:rPr>
        <w:t>using two tailed t-test</w:t>
      </w:r>
      <w:r w:rsidRPr="0008615B">
        <w:rPr>
          <w:rFonts w:ascii="Times New Roman" w:hAnsi="Times New Roman" w:cs="Times New Roman"/>
          <w:lang w:val="en-GB"/>
        </w:rPr>
        <w:t>.</w:t>
      </w:r>
    </w:p>
    <w:p w14:paraId="6B7D4BE9" w14:textId="77777777" w:rsidR="008E50C9" w:rsidRDefault="008E50C9" w:rsidP="008E50C9">
      <w:pPr>
        <w:spacing w:line="360" w:lineRule="auto"/>
        <w:jc w:val="both"/>
        <w:rPr>
          <w:rFonts w:ascii="Times New Roman" w:hAnsi="Times New Roman" w:cs="Times New Roman"/>
          <w:b/>
          <w:lang w:val="en-GB"/>
        </w:rPr>
      </w:pPr>
    </w:p>
    <w:p w14:paraId="40D60A61" w14:textId="77777777" w:rsidR="008E50C9" w:rsidRPr="0008615B" w:rsidRDefault="008E50C9" w:rsidP="008E50C9">
      <w:pPr>
        <w:spacing w:line="360" w:lineRule="auto"/>
        <w:jc w:val="both"/>
        <w:rPr>
          <w:rFonts w:ascii="Times New Roman" w:hAnsi="Times New Roman" w:cs="Times New Roman"/>
          <w:b/>
          <w:lang w:val="en-GB"/>
        </w:rPr>
      </w:pPr>
      <w:r w:rsidRPr="003D2153">
        <w:rPr>
          <w:rFonts w:ascii="Times New Roman" w:hAnsi="Times New Roman" w:cs="Times New Roman"/>
          <w:b/>
          <w:noProof/>
          <w:lang w:val="en-GB"/>
        </w:rPr>
        <w:lastRenderedPageBreak/>
        <w:drawing>
          <wp:inline distT="0" distB="0" distL="0" distR="0" wp14:anchorId="6C392610" wp14:editId="677612F8">
            <wp:extent cx="5400675" cy="5462497"/>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5462497"/>
                    </a:xfrm>
                    <a:prstGeom prst="rect">
                      <a:avLst/>
                    </a:prstGeom>
                    <a:noFill/>
                    <a:ln>
                      <a:noFill/>
                    </a:ln>
                  </pic:spPr>
                </pic:pic>
              </a:graphicData>
            </a:graphic>
          </wp:inline>
        </w:drawing>
      </w:r>
    </w:p>
    <w:p w14:paraId="6E58F1E5" w14:textId="77777777" w:rsidR="008E50C9" w:rsidRPr="0008615B" w:rsidRDefault="008E50C9" w:rsidP="008E50C9">
      <w:pPr>
        <w:spacing w:line="360" w:lineRule="auto"/>
        <w:jc w:val="both"/>
        <w:rPr>
          <w:rFonts w:ascii="Times New Roman" w:hAnsi="Times New Roman" w:cs="Times New Roman"/>
          <w:lang w:val="en-GB"/>
        </w:rPr>
      </w:pPr>
      <w:r w:rsidRPr="0008615B">
        <w:rPr>
          <w:rFonts w:ascii="Times New Roman" w:hAnsi="Times New Roman" w:cs="Times New Roman"/>
          <w:b/>
          <w:lang w:val="en-GB"/>
        </w:rPr>
        <w:t>Figure supplementary 5. Identification of co-expressed genes. A</w:t>
      </w:r>
      <w:r w:rsidRPr="0008615B">
        <w:rPr>
          <w:rFonts w:ascii="Times New Roman" w:hAnsi="Times New Roman" w:cs="Times New Roman"/>
          <w:lang w:val="en-GB"/>
        </w:rPr>
        <w:t xml:space="preserve">. Euler diagram representing the number of genes co-expressed with each of the 4 genes and the overlap between them. </w:t>
      </w:r>
      <w:r w:rsidRPr="0008615B">
        <w:rPr>
          <w:rFonts w:ascii="Times New Roman" w:hAnsi="Times New Roman" w:cs="Times New Roman"/>
          <w:b/>
          <w:lang w:val="en-GB"/>
        </w:rPr>
        <w:t>B</w:t>
      </w:r>
      <w:r w:rsidRPr="0008615B">
        <w:rPr>
          <w:rFonts w:ascii="Times New Roman" w:hAnsi="Times New Roman" w:cs="Times New Roman"/>
          <w:lang w:val="en-GB"/>
        </w:rPr>
        <w:t xml:space="preserve">. Number of genes co-expressed by SPARC and MT1-MMP in the 6 groups of samples considered. </w:t>
      </w:r>
      <w:r w:rsidRPr="0008615B">
        <w:rPr>
          <w:rFonts w:ascii="Times New Roman" w:hAnsi="Times New Roman" w:cs="Times New Roman"/>
          <w:b/>
          <w:lang w:val="en-GB"/>
        </w:rPr>
        <w:t xml:space="preserve">C. </w:t>
      </w:r>
      <w:r w:rsidRPr="0008615B">
        <w:rPr>
          <w:rFonts w:ascii="Times New Roman" w:hAnsi="Times New Roman" w:cs="Times New Roman"/>
          <w:lang w:val="en-US"/>
        </w:rPr>
        <w:t xml:space="preserve">mRNA levels of SPARC (left panel) and MT1-MMP (right panel) in MCF10DCIS cells after SB431542 treatment (20 ng/ml). Values corresponding to means ± SEM, n = 3. t-test, **p&lt;0.01. </w:t>
      </w:r>
      <w:r w:rsidRPr="0008615B">
        <w:rPr>
          <w:rFonts w:ascii="Times New Roman" w:hAnsi="Times New Roman" w:cs="Times New Roman"/>
          <w:b/>
          <w:lang w:val="en-GB"/>
        </w:rPr>
        <w:t xml:space="preserve">D. </w:t>
      </w:r>
      <w:r w:rsidRPr="0008615B">
        <w:rPr>
          <w:rFonts w:ascii="Times New Roman" w:hAnsi="Times New Roman" w:cs="Times New Roman"/>
          <w:lang w:val="en-GB"/>
        </w:rPr>
        <w:t>Western blot and quantification of</w:t>
      </w:r>
      <w:r w:rsidRPr="0008615B">
        <w:rPr>
          <w:rFonts w:ascii="Times New Roman" w:hAnsi="Times New Roman" w:cs="Times New Roman"/>
          <w:b/>
          <w:lang w:val="en-GB"/>
        </w:rPr>
        <w:t xml:space="preserve"> </w:t>
      </w:r>
      <w:r w:rsidRPr="0008615B">
        <w:rPr>
          <w:rFonts w:ascii="Times New Roman" w:hAnsi="Times New Roman" w:cs="Times New Roman"/>
          <w:lang w:val="en-US"/>
        </w:rPr>
        <w:t xml:space="preserve">SPARC MCF10DCIS cells after SB431542 treatment (20 ng/ml). Values corresponding to means ± SEM, n = 3. t-test, **p&lt;0.01. </w:t>
      </w:r>
      <w:r w:rsidRPr="0008615B">
        <w:rPr>
          <w:rFonts w:ascii="Times New Roman" w:hAnsi="Times New Roman" w:cs="Times New Roman"/>
          <w:b/>
          <w:lang w:val="en-US"/>
        </w:rPr>
        <w:t xml:space="preserve">E. </w:t>
      </w:r>
      <w:r w:rsidRPr="0008615B">
        <w:rPr>
          <w:rFonts w:ascii="Times New Roman" w:hAnsi="Times New Roman" w:cs="Times New Roman"/>
          <w:lang w:val="en-US"/>
        </w:rPr>
        <w:t xml:space="preserve">Single cell tracking assay in 3D collagen microdevice in MCF10DCIS cells treated or not with </w:t>
      </w:r>
      <w:r w:rsidRPr="0008615B">
        <w:rPr>
          <w:rFonts w:ascii="Times New Roman" w:hAnsi="Times New Roman" w:cs="Times New Roman"/>
          <w:bCs/>
          <w:lang w:val="en-US"/>
        </w:rPr>
        <w:t>TGF-β</w:t>
      </w:r>
      <w:r w:rsidRPr="0008615B">
        <w:rPr>
          <w:rFonts w:ascii="Times New Roman" w:hAnsi="Times New Roman" w:cs="Times New Roman"/>
          <w:lang w:val="en-US"/>
        </w:rPr>
        <w:t xml:space="preserve"> and SB431542. Violin plot of track mean speed, </w:t>
      </w:r>
      <w:bookmarkStart w:id="0" w:name="OLE_LINK1"/>
      <w:r w:rsidRPr="0008615B">
        <w:rPr>
          <w:rFonts w:ascii="Times New Roman" w:hAnsi="Times New Roman" w:cs="Times New Roman"/>
          <w:lang w:val="en-US"/>
        </w:rPr>
        <w:t>***p&lt;0.001</w:t>
      </w:r>
      <w:bookmarkEnd w:id="0"/>
      <w:r w:rsidRPr="0008615B">
        <w:rPr>
          <w:rFonts w:ascii="Times New Roman" w:hAnsi="Times New Roman" w:cs="Times New Roman"/>
          <w:lang w:val="en-US"/>
        </w:rPr>
        <w:t xml:space="preserve">, Kruskal-Wallis test. </w:t>
      </w:r>
      <w:r w:rsidRPr="0008615B">
        <w:rPr>
          <w:rFonts w:ascii="Times New Roman" w:hAnsi="Times New Roman" w:cs="Times New Roman"/>
          <w:b/>
          <w:lang w:val="en-GB"/>
        </w:rPr>
        <w:t xml:space="preserve">F. </w:t>
      </w:r>
      <w:r w:rsidRPr="0008615B">
        <w:rPr>
          <w:rFonts w:ascii="Times New Roman" w:hAnsi="Times New Roman" w:cs="Times New Roman"/>
          <w:lang w:val="en-GB"/>
        </w:rPr>
        <w:t>Immunofluoresce illustrating SPARC and TGBRI expression in invasive tumors after intraductal injection of LM38-LP. Scale bar: 10 µm.</w:t>
      </w:r>
    </w:p>
    <w:p w14:paraId="6544C30B" w14:textId="77777777" w:rsidR="008E50C9" w:rsidRDefault="008E50C9" w:rsidP="008E50C9">
      <w:pPr>
        <w:jc w:val="both"/>
        <w:rPr>
          <w:rFonts w:ascii="Times New Roman" w:hAnsi="Times New Roman" w:cs="Times New Roman"/>
          <w:lang w:val="en-US"/>
        </w:rPr>
      </w:pPr>
    </w:p>
    <w:p w14:paraId="67EBC1A6"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0C9"/>
    <w:rsid w:val="003C2EF4"/>
    <w:rsid w:val="00446799"/>
    <w:rsid w:val="006A7E07"/>
    <w:rsid w:val="00701021"/>
    <w:rsid w:val="00854135"/>
    <w:rsid w:val="008E50C9"/>
    <w:rsid w:val="00B74216"/>
    <w:rsid w:val="00CF0FCC"/>
    <w:rsid w:val="00D62F8C"/>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DF6F"/>
  <w15:chartTrackingRefBased/>
  <w15:docId w15:val="{E3C244FE-F08A-4931-B0F7-D1176E037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0C9"/>
    <w:pPr>
      <w:spacing w:line="259" w:lineRule="auto"/>
    </w:pPr>
    <w:rPr>
      <w:kern w:val="0"/>
      <w:sz w:val="22"/>
      <w:szCs w:val="22"/>
      <w:lang w:val="es-AR"/>
      <w14:ligatures w14:val="none"/>
    </w:rPr>
  </w:style>
  <w:style w:type="paragraph" w:styleId="Heading1">
    <w:name w:val="heading 1"/>
    <w:basedOn w:val="Normal"/>
    <w:next w:val="Normal"/>
    <w:link w:val="Heading1Char"/>
    <w:uiPriority w:val="9"/>
    <w:qFormat/>
    <w:rsid w:val="008E50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8E50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8E50C9"/>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8E50C9"/>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8E50C9"/>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8E50C9"/>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8E50C9"/>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8E50C9"/>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8E50C9"/>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0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50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50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50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5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5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5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5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50C9"/>
    <w:rPr>
      <w:rFonts w:eastAsiaTheme="majorEastAsia" w:cstheme="majorBidi"/>
      <w:color w:val="272727" w:themeColor="text1" w:themeTint="D8"/>
    </w:rPr>
  </w:style>
  <w:style w:type="paragraph" w:styleId="Title">
    <w:name w:val="Title"/>
    <w:basedOn w:val="Normal"/>
    <w:next w:val="Normal"/>
    <w:link w:val="TitleChar"/>
    <w:uiPriority w:val="10"/>
    <w:qFormat/>
    <w:rsid w:val="008E50C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8E50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50C9"/>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8E50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50C9"/>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8E50C9"/>
    <w:rPr>
      <w:i/>
      <w:iCs/>
      <w:color w:val="404040" w:themeColor="text1" w:themeTint="BF"/>
    </w:rPr>
  </w:style>
  <w:style w:type="paragraph" w:styleId="ListParagraph">
    <w:name w:val="List Paragraph"/>
    <w:basedOn w:val="Normal"/>
    <w:uiPriority w:val="34"/>
    <w:qFormat/>
    <w:rsid w:val="008E50C9"/>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8E50C9"/>
    <w:rPr>
      <w:i/>
      <w:iCs/>
      <w:color w:val="0F4761" w:themeColor="accent1" w:themeShade="BF"/>
    </w:rPr>
  </w:style>
  <w:style w:type="paragraph" w:styleId="IntenseQuote">
    <w:name w:val="Intense Quote"/>
    <w:basedOn w:val="Normal"/>
    <w:next w:val="Normal"/>
    <w:link w:val="IntenseQuoteChar"/>
    <w:uiPriority w:val="30"/>
    <w:qFormat/>
    <w:rsid w:val="008E50C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8E50C9"/>
    <w:rPr>
      <w:i/>
      <w:iCs/>
      <w:color w:val="0F4761" w:themeColor="accent1" w:themeShade="BF"/>
    </w:rPr>
  </w:style>
  <w:style w:type="character" w:styleId="IntenseReference">
    <w:name w:val="Intense Reference"/>
    <w:basedOn w:val="DefaultParagraphFont"/>
    <w:uiPriority w:val="32"/>
    <w:qFormat/>
    <w:rsid w:val="008E50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3011</Words>
  <Characters>17168</Characters>
  <Application>Microsoft Office Word</Application>
  <DocSecurity>0</DocSecurity>
  <Lines>143</Lines>
  <Paragraphs>40</Paragraphs>
  <ScaleCrop>false</ScaleCrop>
  <Company>Springer Nature</Company>
  <LinksUpToDate>false</LinksUpToDate>
  <CharactersWithSpaces>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2026-06-19T06:50:00Z</dcterms:created>
  <dcterms:modified xsi:type="dcterms:W3CDTF">2026-06-19T06:51:00Z</dcterms:modified>
</cp:coreProperties>
</file>