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62"/>
        <w:jc w:val="center"/>
        <w:rPr/>
      </w:pPr>
      <w:r>
        <w:t>File S</w:t>
      </w:r>
      <w:r>
        <w:rPr>
          <w:lang w:val="en-US"/>
        </w:rPr>
        <w:t>5</w:t>
      </w:r>
      <w:r>
        <w:t>: Data Dictionary (Codebook)</w:t>
      </w:r>
    </w:p>
    <w:p>
      <w:pPr>
        <w:pStyle w:val="style1"/>
        <w:rPr/>
      </w:pPr>
      <w:r>
        <w:t>Study Information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>
        <w:trPr/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rPr>
                <w:b/>
              </w:rPr>
              <w:t>File Name</w:t>
            </w:r>
          </w:p>
        </w:tc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t>S11_Data_Dictionary_Codebook.pdf</w:t>
            </w:r>
          </w:p>
        </w:tc>
      </w:tr>
      <w:tr>
        <w:tblPrEx/>
        <w:trPr/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rPr>
                <w:b/>
              </w:rPr>
              <w:t>Study Name</w:t>
            </w:r>
          </w:p>
        </w:tc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rPr>
                <w:lang w:val="en-US"/>
              </w:rPr>
              <w:t>War-Related Psychological Distress is Associated with Childhood Anemia: Evidence for Inflammatory Pathways in Conflict-Affected Yemen</w:t>
            </w:r>
          </w:p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rPr>
                <w:b/>
              </w:rPr>
              <w:t>Version</w:t>
            </w:r>
          </w:p>
        </w:tc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t>2.0</w:t>
            </w:r>
          </w:p>
        </w:tc>
      </w:tr>
      <w:tr>
        <w:tblPrEx/>
        <w:trPr/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rPr>
                <w:b/>
              </w:rPr>
              <w:t>Last Updated</w:t>
            </w:r>
          </w:p>
        </w:tc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t>15 January 2026</w:t>
            </w:r>
          </w:p>
        </w:tc>
      </w:tr>
      <w:tr>
        <w:tblPrEx/>
        <w:trPr/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rPr>
                <w:b/>
              </w:rPr>
              <w:t>Dataset</w:t>
            </w:r>
          </w:p>
        </w:tc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t>S1_Deidentified_Dataset.csv</w:t>
            </w:r>
          </w:p>
        </w:tc>
      </w:tr>
      <w:tr>
        <w:tblPrEx/>
        <w:trPr/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rPr>
                <w:b/>
              </w:rPr>
              <w:t>Number of Variables</w:t>
            </w:r>
          </w:p>
        </w:tc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t>20</w:t>
            </w:r>
          </w:p>
        </w:tc>
      </w:tr>
      <w:tr>
        <w:tblPrEx/>
        <w:trPr/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rPr>
                <w:b/>
              </w:rPr>
              <w:t>Number of Observations</w:t>
            </w:r>
          </w:p>
        </w:tc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t>600</w:t>
            </w:r>
          </w:p>
        </w:tc>
      </w:tr>
    </w:tbl>
    <w:p>
      <w:pPr>
        <w:pStyle w:val="style1"/>
        <w:rPr/>
      </w:pPr>
      <w:r>
        <w:t>Variable Definitions</w:t>
      </w:r>
    </w:p>
    <w:p>
      <w:pPr>
        <w:pStyle w:val="style2"/>
        <w:rPr/>
      </w:pPr>
      <w:r>
        <w:t>1. Identification Variables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rPr>
                <w:b/>
              </w:rPr>
              <w:t>Variable Name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rPr>
                <w:b/>
              </w:rPr>
              <w:t>Description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rPr>
                <w:b/>
              </w:rPr>
              <w:t>Type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rPr>
                <w:b/>
              </w:rPr>
              <w:t>Values/Coding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rPr>
                <w:b/>
              </w:rPr>
              <w:t>Missing Codes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Participant_ID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Unique participant identifier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Character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A001-A600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None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Cluster_ID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Sampling cluster identifier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Character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CL001-CL030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None</w:t>
            </w:r>
          </w:p>
        </w:tc>
      </w:tr>
    </w:tbl>
    <w:p>
      <w:pPr>
        <w:pStyle w:val="style2"/>
        <w:rPr/>
      </w:pPr>
      <w:r>
        <w:t>2. Demographic Variables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2098"/>
        <w:gridCol w:w="1706"/>
        <w:gridCol w:w="1671"/>
        <w:gridCol w:w="1715"/>
        <w:gridCol w:w="1668"/>
      </w:tblGrid>
      <w:tr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rPr>
                <w:b/>
              </w:rPr>
              <w:t>Variable Name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rPr>
                <w:b/>
              </w:rPr>
              <w:t>Description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rPr>
                <w:b/>
              </w:rPr>
              <w:t>Type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rPr>
                <w:b/>
              </w:rPr>
              <w:t>Values/Coding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rPr>
                <w:b/>
              </w:rPr>
              <w:t>Missing Codes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Age_Years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Age in years (for synthetic dataset)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Numeric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6-59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-99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Sex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Biological sex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Factor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 = Male, 2 = Female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-99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Displacement_Status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Displacement status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Factor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 = Resident, 2 = Internally Displaced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-99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District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Study district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Factor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1-10 (coded districts)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-99</w:t>
            </w:r>
          </w:p>
        </w:tc>
      </w:tr>
    </w:tbl>
    <w:p>
      <w:pPr>
        <w:pStyle w:val="style2"/>
        <w:rPr/>
      </w:pPr>
      <w:r>
        <w:t>3. Psychological Variables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2424"/>
        <w:gridCol w:w="1625"/>
        <w:gridCol w:w="1564"/>
        <w:gridCol w:w="1691"/>
        <w:gridCol w:w="1555"/>
      </w:tblGrid>
      <w:tr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rPr>
                <w:b/>
              </w:rPr>
              <w:t>Variable Name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rPr>
                <w:b/>
              </w:rPr>
              <w:t>Description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rPr>
                <w:b/>
              </w:rPr>
              <w:t>Type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rPr>
                <w:b/>
              </w:rPr>
              <w:t>Values/Coding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rPr>
                <w:b/>
              </w:rPr>
              <w:t>Missing Codes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Conflict_Exposure_Score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Exposure to conflict events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Numeric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0-10 (higher = more exposure)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-99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PTSD_Severity_Score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PTSD symptom severity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Numeric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0-40 (CPSS-5 total score)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-999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Depression_Score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Depression symptom severity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Numeric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0-27 (PFC total score)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-999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General_Distress_Index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Composite distress index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Numeric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0-40 (mean of standardized PTSD &amp; depression)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-999</w:t>
            </w:r>
          </w:p>
        </w:tc>
      </w:tr>
    </w:tbl>
    <w:p>
      <w:pPr>
        <w:pStyle w:val="style2"/>
        <w:rPr/>
      </w:pPr>
      <w:r>
        <w:t>4. Biological Markers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1810"/>
        <w:gridCol w:w="1728"/>
        <w:gridCol w:w="1728"/>
        <w:gridCol w:w="1728"/>
        <w:gridCol w:w="1728"/>
      </w:tblGrid>
      <w:tr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rPr>
                <w:b/>
              </w:rPr>
              <w:t>Variable Name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rPr>
                <w:b/>
              </w:rPr>
              <w:t>Description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rPr>
                <w:b/>
              </w:rPr>
              <w:t>Type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rPr>
                <w:b/>
              </w:rPr>
              <w:t>Values/Coding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rPr>
                <w:b/>
              </w:rPr>
              <w:t>Missing Codes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CRP_mg_L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C-reactive protein concentration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Numeric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0.1-50 mg/L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-99.9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Hemoglobin_g_dL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Hemoglobin concentration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Numeric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5-18 g/dL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-99.9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Ferritin_ng_mL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Ferritin concentration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Numeric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1-200 ng/mL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-99.9</w:t>
            </w:r>
          </w:p>
        </w:tc>
      </w:tr>
    </w:tbl>
    <w:p>
      <w:pPr>
        <w:pStyle w:val="style2"/>
        <w:rPr/>
      </w:pPr>
      <w:r>
        <w:t>5. Outcome Variables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3040"/>
        <w:gridCol w:w="1571"/>
        <w:gridCol w:w="1262"/>
        <w:gridCol w:w="1644"/>
        <w:gridCol w:w="1341"/>
      </w:tblGrid>
      <w:tr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rPr>
                <w:b/>
              </w:rPr>
              <w:t>Variable Name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rPr>
                <w:b/>
              </w:rPr>
              <w:t>Description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rPr>
                <w:b/>
              </w:rPr>
              <w:t>Type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rPr>
                <w:b/>
              </w:rPr>
              <w:t>Values/Coding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rPr>
                <w:b/>
              </w:rPr>
              <w:t>Missing Codes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Iron_Deficiency_Anaemia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Iron deficiency anaemia status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Binary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0 = No, 1 = Yes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-99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Inflammation_Related_Anaemia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Inflammation-related anaemia status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Binary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0 = No, 1 = Yes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-99</w:t>
            </w:r>
          </w:p>
        </w:tc>
      </w:tr>
    </w:tbl>
    <w:p>
      <w:pPr>
        <w:pStyle w:val="style2"/>
        <w:rPr/>
      </w:pPr>
      <w:r>
        <w:t>6. Socioeconomic Variables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2670"/>
        <w:gridCol w:w="1580"/>
        <w:gridCol w:w="1454"/>
        <w:gridCol w:w="1674"/>
        <w:gridCol w:w="1480"/>
      </w:tblGrid>
      <w:tr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rPr>
                <w:b/>
              </w:rPr>
              <w:t>Variable Name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rPr>
                <w:b/>
              </w:rPr>
              <w:t>Description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rPr>
                <w:b/>
              </w:rPr>
              <w:t>Type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rPr>
                <w:b/>
              </w:rPr>
              <w:t>Values/Coding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rPr>
                <w:b/>
              </w:rPr>
              <w:t>Missing Codes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Household_Food_Insecurity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Household food insecurity level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Ordinal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 = Secure, 2 = Mild, 3 = Moderate, 4 = Severe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-99</w:t>
            </w:r>
          </w:p>
        </w:tc>
      </w:tr>
    </w:tbl>
    <w:p>
      <w:pPr>
        <w:pStyle w:val="style1"/>
        <w:rPr/>
      </w:pPr>
      <w:r>
        <w:t>Derived Variables (Created During Analysis)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2839"/>
        <w:gridCol w:w="3220"/>
        <w:gridCol w:w="2798"/>
      </w:tblGrid>
      <w:tr>
        <w:trPr/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rPr>
                <w:b/>
              </w:rPr>
              <w:t>Variable Name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rPr>
                <w:b/>
              </w:rPr>
              <w:t>Creation Rule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rPr>
                <w:b/>
              </w:rPr>
              <w:t>Purpose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age_months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Age_Years * 12 if &lt;5, else Age_Years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Standardized age in months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displaced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ifelse(Displacement_Status == 2, 1, 0)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Binary displacement indicator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food_insecure_severe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ifelse(Household_Food_Insecurity == 4, 1, 0)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Severe food insecurity indicator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distress_q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Quartiles of General_Distress_Index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Dose-response analysis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log_crp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log(CRP_mg_L + 0.1)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Normalized CRP values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anaemia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ifelse(Hemoglobin_g_dL &lt; 11.0, 1, 0)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Anaemia classification (WHO)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anaemia_type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Based on Hb, CRP, Ferritin cutoffs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Anaemia phenotype classification</w:t>
            </w:r>
          </w:p>
        </w:tc>
      </w:tr>
    </w:tbl>
    <w:p>
      <w:pPr>
        <w:pStyle w:val="style1"/>
        <w:rPr/>
      </w:pPr>
      <w:r>
        <w:t>Classification Criteria</w:t>
      </w:r>
    </w:p>
    <w:p>
      <w:pPr>
        <w:pStyle w:val="style2"/>
        <w:rPr/>
      </w:pPr>
      <w:r>
        <w:t>Anaemia Classification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>
        <w:trPr/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t>Normal</w:t>
            </w:r>
          </w:p>
        </w:tc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t>Hb ≥ 11.0 g/dL</w:t>
            </w:r>
          </w:p>
        </w:tc>
      </w:tr>
      <w:tr>
        <w:tblPrEx/>
        <w:trPr/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t>Anaemia</w:t>
            </w:r>
          </w:p>
        </w:tc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t>Hb &lt; 11.0 g/dL</w:t>
            </w:r>
          </w:p>
        </w:tc>
      </w:tr>
      <w:tr>
        <w:tblPrEx/>
        <w:trPr/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t>Iron Deficiency Anaemia (IDA)</w:t>
            </w:r>
          </w:p>
        </w:tc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t>Anaemia + Ferritin &lt; 12 ng/mL</w:t>
            </w:r>
          </w:p>
        </w:tc>
      </w:tr>
      <w:tr>
        <w:tblPrEx/>
        <w:trPr/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t>Inflammation-Related Anaemia</w:t>
            </w:r>
          </w:p>
        </w:tc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t>Anaemia + CRP &gt; 5 mg/L + Ferritin ≥ 12 ng/mL</w:t>
            </w:r>
          </w:p>
        </w:tc>
      </w:tr>
      <w:tr>
        <w:tblPrEx/>
        <w:trPr/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t>Other Anaemia</w:t>
            </w:r>
          </w:p>
        </w:tc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t>Anaemia not meeting above criteria</w:t>
            </w:r>
          </w:p>
        </w:tc>
      </w:tr>
    </w:tbl>
    <w:p>
      <w:pPr>
        <w:pStyle w:val="style2"/>
        <w:rPr/>
      </w:pPr>
      <w:r>
        <w:t>Psychological Distress Categories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>
        <w:trPr/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t>Low</w:t>
            </w:r>
          </w:p>
        </w:tc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t>General Distress Index &lt; 12 (Q1)</w:t>
            </w:r>
          </w:p>
        </w:tc>
      </w:tr>
      <w:tr>
        <w:tblPrEx/>
        <w:trPr/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t>Moderate</w:t>
            </w:r>
          </w:p>
        </w:tc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t>12-19 (Q2-Q3)</w:t>
            </w:r>
          </w:p>
        </w:tc>
      </w:tr>
      <w:tr>
        <w:tblPrEx/>
        <w:trPr/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t>High</w:t>
            </w:r>
          </w:p>
        </w:tc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t>≥ 20 (Q4)</w:t>
            </w:r>
          </w:p>
        </w:tc>
      </w:tr>
    </w:tbl>
    <w:p>
      <w:pPr>
        <w:pStyle w:val="style2"/>
        <w:rPr/>
      </w:pPr>
      <w:r>
        <w:t>Food Insecurity Categories (HFIAS)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>
        <w:trPr/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t>Secure</w:t>
            </w:r>
          </w:p>
        </w:tc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t>0-1</w:t>
            </w:r>
          </w:p>
        </w:tc>
      </w:tr>
      <w:tr>
        <w:tblPrEx/>
        <w:trPr/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t>Mild</w:t>
            </w:r>
          </w:p>
        </w:tc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t>2-7</w:t>
            </w:r>
          </w:p>
        </w:tc>
      </w:tr>
      <w:tr>
        <w:tblPrEx/>
        <w:trPr/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t>Moderate</w:t>
            </w:r>
          </w:p>
        </w:tc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t>8-14</w:t>
            </w:r>
          </w:p>
        </w:tc>
      </w:tr>
      <w:tr>
        <w:tblPrEx/>
        <w:trPr/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t>Severe</w:t>
            </w:r>
          </w:p>
        </w:tc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t>15-27</w:t>
            </w:r>
          </w:p>
        </w:tc>
      </w:tr>
    </w:tbl>
    <w:p>
      <w:pPr>
        <w:pStyle w:val="style1"/>
        <w:rPr/>
      </w:pPr>
      <w:r>
        <w:t>Measurement Instruments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>
        <w:trPr/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rPr>
                <w:b/>
              </w:rPr>
              <w:t>1. Child PTSD Symptom Scale (CPSS-5)</w:t>
            </w:r>
          </w:p>
        </w:tc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t>Range: 0-40</w:t>
            </w:r>
            <w:r>
              <w:br/>
            </w:r>
            <w:r>
              <w:t>Cut-off for probable PTSD: ≥ 31</w:t>
            </w:r>
            <w:r>
              <w:br/>
            </w:r>
            <w:r>
              <w:t>Internal consistency (Cronbach's α): 0.89</w:t>
            </w:r>
            <w:r>
              <w:br/>
            </w:r>
            <w:r>
              <w:t>Administration: Caregiver report for children &lt;8 years, self-report for ≥8 years</w:t>
            </w:r>
          </w:p>
        </w:tc>
      </w:tr>
      <w:tr>
        <w:tblPrEx/>
        <w:trPr/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rPr>
                <w:b/>
              </w:rPr>
              <w:t>2. Preschool Feelings Checklist (PFC)</w:t>
            </w:r>
          </w:p>
        </w:tc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t>Range: 0-27</w:t>
            </w:r>
            <w:r>
              <w:br/>
            </w:r>
            <w:r>
              <w:t>Cut-off for probable depression: ≥ 24</w:t>
            </w:r>
            <w:r>
              <w:br/>
            </w:r>
            <w:r>
              <w:t>Sensitivity/Specificity: 82%/78%</w:t>
            </w:r>
            <w:r>
              <w:br/>
            </w:r>
            <w:r>
              <w:t>Administration: Caregiver report</w:t>
            </w:r>
          </w:p>
        </w:tc>
      </w:tr>
      <w:tr>
        <w:tblPrEx/>
        <w:trPr/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rPr>
                <w:b/>
              </w:rPr>
              <w:t>3. Household Food Insecurity Access Scale (HFIAS)</w:t>
            </w:r>
          </w:p>
        </w:tc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t>Range: 0-27</w:t>
            </w:r>
            <w:r>
              <w:br/>
            </w:r>
            <w:r>
              <w:t>Categories: 4 levels</w:t>
            </w:r>
            <w:r>
              <w:br/>
            </w:r>
            <w:r>
              <w:t>Recall period: 4 months</w:t>
            </w:r>
            <w:r>
              <w:br/>
            </w:r>
            <w:r>
              <w:t>Validation: Validated in Arabic humanitarian contexts</w:t>
            </w:r>
          </w:p>
        </w:tc>
      </w:tr>
    </w:tbl>
    <w:p>
      <w:pPr>
        <w:pStyle w:val="style1"/>
        <w:rPr/>
      </w:pPr>
      <w:r>
        <w:t>Laboratory Methods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>
        <w:trPr/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rPr>
                <w:b/>
              </w:rPr>
              <w:t>1. Hemoglobin Measurement</w:t>
            </w:r>
          </w:p>
        </w:tc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t>Method: HemoCue Hb 301</w:t>
            </w:r>
            <w:r>
              <w:br/>
            </w:r>
            <w:r>
              <w:t>Calibration: Daily with controls</w:t>
            </w:r>
            <w:r>
              <w:br/>
            </w:r>
            <w:r>
              <w:t>Quality Control: Every 20 samples</w:t>
            </w:r>
            <w:r>
              <w:br/>
            </w:r>
            <w:r>
              <w:t>Normal range (children 6-59 months): 11.0-14.0 g/dL</w:t>
            </w:r>
          </w:p>
        </w:tc>
      </w:tr>
      <w:tr>
        <w:tblPrEx/>
        <w:trPr/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rPr>
                <w:b/>
              </w:rPr>
              <w:t>2. C-reactive Protein</w:t>
            </w:r>
          </w:p>
        </w:tc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t>Method: Fluorescence immunoassay (i-CHROMA™)</w:t>
            </w:r>
            <w:r>
              <w:br/>
            </w:r>
            <w:r>
              <w:t>Range: 0.5-200 mg/L</w:t>
            </w:r>
            <w:r>
              <w:br/>
            </w:r>
            <w:r>
              <w:t>Cut-off for inflammation: &gt;5 mg/L</w:t>
            </w:r>
            <w:r>
              <w:br/>
            </w:r>
            <w:r>
              <w:t>Precision: CV &lt;5%</w:t>
            </w:r>
          </w:p>
        </w:tc>
      </w:tr>
      <w:tr>
        <w:tblPrEx/>
        <w:trPr/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rPr>
                <w:b/>
              </w:rPr>
              <w:t>3. Ferritin</w:t>
            </w:r>
          </w:p>
        </w:tc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t>Method: Fluorescence immunoassay</w:t>
            </w:r>
            <w:r>
              <w:br/>
            </w:r>
            <w:r>
              <w:t>Range: 1-300 ng/mL</w:t>
            </w:r>
            <w:r>
              <w:br/>
            </w:r>
            <w:r>
              <w:t>Cut-off for iron deficiency: &lt;12 ng/mL</w:t>
            </w:r>
            <w:r>
              <w:br/>
            </w:r>
            <w:r>
              <w:t>Considerations: Acute phase reactant, interpret with CRP</w:t>
            </w:r>
          </w:p>
        </w:tc>
      </w:tr>
    </w:tbl>
    <w:p>
      <w:pPr>
        <w:pStyle w:val="style1"/>
        <w:rPr/>
      </w:pPr>
      <w:r>
        <w:t>Missing Data Protocol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>
        <w:trPr/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rPr>
                <w:b/>
              </w:rPr>
              <w:t>Missing Value Codes</w:t>
            </w:r>
          </w:p>
        </w:tc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t>-99: Missing categorical variable</w:t>
            </w:r>
            <w:r>
              <w:br/>
            </w:r>
            <w:r>
              <w:t>-99.9: Missing continuous variable</w:t>
            </w:r>
            <w:r>
              <w:br/>
            </w:r>
            <w:r>
              <w:t>-999: Missing psychological assessment</w:t>
            </w:r>
            <w:r>
              <w:br/>
            </w:r>
            <w:r>
              <w:t>-777: Not applicable</w:t>
            </w:r>
            <w:r>
              <w:br/>
            </w:r>
            <w:r>
              <w:t>-888: Refused to answer</w:t>
            </w:r>
          </w:p>
        </w:tc>
      </w:tr>
      <w:tr>
        <w:tblPrEx/>
        <w:trPr/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rPr>
                <w:b/>
              </w:rPr>
              <w:t>Missing Data Handling</w:t>
            </w:r>
          </w:p>
        </w:tc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t>1. During data collection: Attempt up to 2 follow-ups</w:t>
            </w:r>
            <w:r>
              <w:br/>
            </w:r>
            <w:r>
              <w:t>2. During analysis: Multiple imputation (m=20) for &lt;10% missing</w:t>
            </w:r>
            <w:r>
              <w:br/>
            </w:r>
            <w:r>
              <w:t>3. Exclusion: Exclude if &gt;20% key variables missing</w:t>
            </w:r>
            <w:r>
              <w:br/>
            </w:r>
            <w:r>
              <w:t>4. Documentation: All missingness patterns documented</w:t>
            </w:r>
          </w:p>
        </w:tc>
      </w:tr>
    </w:tbl>
    <w:p>
      <w:pPr>
        <w:pStyle w:val="style1"/>
        <w:rPr/>
      </w:pPr>
      <w:r>
        <w:t>Quality Control Measures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>
        <w:trPr/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rPr>
                <w:b/>
              </w:rPr>
              <w:t>Field Level</w:t>
            </w:r>
          </w:p>
        </w:tc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t>Double data entry for 10% of forms</w:t>
            </w:r>
            <w:r>
              <w:br/>
            </w:r>
            <w:r>
              <w:t>Range checks during data collection</w:t>
            </w:r>
            <w:r>
              <w:br/>
            </w:r>
            <w:r>
              <w:t>Supervisor verification of all abnormal values</w:t>
            </w:r>
          </w:p>
        </w:tc>
      </w:tr>
      <w:tr>
        <w:tblPrEx/>
        <w:trPr/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rPr>
                <w:b/>
              </w:rPr>
              <w:t>Analysis Level</w:t>
            </w:r>
          </w:p>
        </w:tc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t>Outlier detection (Hb &lt;5 or &gt;18 g/dL excluded)</w:t>
            </w:r>
            <w:r>
              <w:br/>
            </w:r>
            <w:r>
              <w:t>Consistency checks (e.g., age vs. developmental milestones)</w:t>
            </w:r>
            <w:r>
              <w:br/>
            </w:r>
            <w:r>
              <w:t>Duplicate detection (based on demographic variables)</w:t>
            </w:r>
          </w:p>
        </w:tc>
      </w:tr>
      <w:tr>
        <w:tblPrEx/>
        <w:trPr/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rPr>
                <w:b/>
              </w:rPr>
              <w:t>Laboratory Quality Control</w:t>
            </w:r>
          </w:p>
        </w:tc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t>Daily calibration of HemoCue</w:t>
            </w:r>
            <w:r>
              <w:br/>
            </w:r>
            <w:r>
              <w:t>External quality control samples monthly</w:t>
            </w:r>
            <w:r>
              <w:br/>
            </w:r>
            <w:r>
              <w:t>Temperature monitoring of reagents</w:t>
            </w:r>
          </w:p>
        </w:tc>
      </w:tr>
    </w:tbl>
    <w:p>
      <w:pPr>
        <w:pStyle w:val="style1"/>
        <w:rPr/>
      </w:pPr>
      <w:r>
        <w:t>Data Transformation Notes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>
        <w:trPr/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rPr>
                <w:b/>
              </w:rPr>
              <w:t>Log Transformations</w:t>
            </w:r>
          </w:p>
        </w:tc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t>CRP: Log-transformed due to right skew (log(CRP + 0.1))</w:t>
            </w:r>
            <w:r>
              <w:br/>
            </w:r>
            <w:r>
              <w:t>Ferritin: Considered for some analyses but not primary models</w:t>
            </w:r>
          </w:p>
        </w:tc>
      </w:tr>
      <w:tr>
        <w:tblPrEx/>
        <w:trPr/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rPr>
                <w:b/>
              </w:rPr>
              <w:t>Standardization</w:t>
            </w:r>
          </w:p>
        </w:tc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t>General Distress Index: Created by averaging standardized PTSD and depression scores</w:t>
            </w:r>
            <w:r>
              <w:br/>
            </w:r>
            <w:r>
              <w:t>Continuous predictors: Sometimes standardized for interpretation (mean=0, SD=1)</w:t>
            </w:r>
          </w:p>
        </w:tc>
      </w:tr>
      <w:tr>
        <w:tblPrEx/>
        <w:trPr/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rPr>
                <w:b/>
              </w:rPr>
              <w:t>Categorization</w:t>
            </w:r>
          </w:p>
        </w:tc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t>Distress quartiles: Based on sample distribution</w:t>
            </w:r>
            <w:r>
              <w:br/>
            </w:r>
            <w:r>
              <w:t>Age groups: Sometimes categorized as &lt;24 vs. ≥24 months</w:t>
            </w:r>
            <w:r>
              <w:br/>
            </w:r>
            <w:r>
              <w:t>CRP levels: Sometimes categorized as ≤5 vs. &gt;5 mg/L</w:t>
            </w:r>
          </w:p>
        </w:tc>
      </w:tr>
    </w:tbl>
    <w:p>
      <w:pPr>
        <w:pStyle w:val="style1"/>
        <w:rPr/>
      </w:pPr>
      <w:r>
        <w:t>Confidentiality and Security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>
        <w:trPr/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rPr>
                <w:b/>
              </w:rPr>
              <w:t>De-identification Steps</w:t>
            </w:r>
          </w:p>
        </w:tc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t>1. Names replaced with Participant_ID</w:t>
            </w:r>
            <w:r>
              <w:br/>
            </w:r>
            <w:r>
              <w:t>2. Addresses generalized to district level</w:t>
            </w:r>
            <w:r>
              <w:br/>
            </w:r>
            <w:r>
              <w:t>3. Exact dates converted to age</w:t>
            </w:r>
            <w:r>
              <w:br/>
            </w:r>
            <w:r>
              <w:t>4. Contact information removed</w:t>
            </w:r>
            <w:r>
              <w:br/>
            </w:r>
            <w:r>
              <w:t>5. Any potentially identifying comments removed</w:t>
            </w:r>
          </w:p>
        </w:tc>
      </w:tr>
      <w:tr>
        <w:tblPrEx/>
        <w:trPr/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rPr>
                <w:b/>
              </w:rPr>
              <w:t>Access Levels</w:t>
            </w:r>
          </w:p>
        </w:tc>
        <w:tc>
          <w:tcPr>
            <w:tcW w:w="4320" w:type="dxa"/>
            <w:tcBorders/>
          </w:tcPr>
          <w:p>
            <w:pPr>
              <w:pStyle w:val="style0"/>
              <w:rPr/>
            </w:pPr>
            <w:r>
              <w:t>Level 1: De-identified dataset (this file)</w:t>
            </w:r>
            <w:r>
              <w:br/>
            </w:r>
            <w:r>
              <w:t>Level 2: Partially identified (for specific re-analysis requests)</w:t>
            </w:r>
            <w:r>
              <w:br/>
            </w:r>
            <w:r>
              <w:t>Level 3: Fully identified (only for audit purposes)</w:t>
            </w:r>
          </w:p>
        </w:tc>
      </w:tr>
    </w:tbl>
    <w:p>
      <w:pPr>
        <w:pStyle w:val="style1"/>
        <w:rPr/>
      </w:pPr>
      <w:r>
        <w:t>Version History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rPr>
                <w:b/>
              </w:rPr>
              <w:t>Version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rPr>
                <w:b/>
              </w:rPr>
              <w:t>Date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rPr>
                <w:b/>
              </w:rPr>
              <w:t>Changes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rPr>
                <w:b/>
              </w:rPr>
              <w:t>Responsible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1.0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15 Dec 2025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Initial codebook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Data Manager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1.1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05 Jan 2026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Added derived variables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Statistician</w:t>
            </w:r>
          </w:p>
        </w:tc>
      </w:tr>
      <w:tr>
        <w:tblPrEx/>
        <w:trPr/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2.0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15 Jan 2026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Final version for publication</w:t>
            </w:r>
          </w:p>
        </w:tc>
        <w:tc>
          <w:tcPr>
            <w:tcW w:w="2160" w:type="dxa"/>
            <w:tcBorders/>
          </w:tcPr>
          <w:p>
            <w:pPr>
              <w:pStyle w:val="style0"/>
              <w:rPr/>
            </w:pPr>
            <w:r>
              <w:t>PI</w:t>
            </w:r>
          </w:p>
        </w:tc>
      </w:tr>
    </w:tbl>
    <w:p>
      <w:pPr>
        <w:pStyle w:val="style0"/>
        <w:rPr/>
      </w:pPr>
    </w:p>
    <w:sectPr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auto"/>
    <w:pitch w:val="variable"/>
    <w:sig w:usb0="E0002AFF" w:usb1="C0007841" w:usb2="00000009" w:usb3="00000000" w:csb0="000001FF" w:csb1="00000000"/>
  </w:font>
  <w:font w:name="Cambria">
    <w:altName w:val="Cambria"/>
    <w:panose1 w:val="02040503050000030204"/>
    <w:charset w:val="00"/>
    <w:family w:val="auto"/>
    <w:pitch w:val="variable"/>
    <w:sig w:usb0="E00002FF" w:usb1="400004FF" w:usb2="00000000" w:usb3="00000000" w:csb0="0000019F" w:csb1="00000000"/>
  </w:font>
  <w:font w:name="ＭＳ 明朝">
    <w:altName w:val="ＭＳ 明朝"/>
    <w:panose1 w:val="00000000000000000000"/>
    <w:charset w:val="80"/>
    <w:family w:val="roman"/>
    <w:pitch w:val="fixed"/>
    <w:sig w:usb0="00000001" w:usb1="08070000" w:usb2="00000010" w:usb3="00000000" w:csb0="00020000" w:csb1="00000000"/>
  </w:font>
  <w:font w:name="Calibri">
    <w:altName w:val="Calibri"/>
    <w:panose1 w:val="020f0502020000030204"/>
    <w:charset w:val="00"/>
    <w:family w:val="auto"/>
    <w:pitch w:val="variable"/>
    <w:sig w:usb0="E10002FF" w:usb1="4000ACFF" w:usb2="00000009" w:usb3="00000000" w:csb0="0000019F" w:csb1="00000000"/>
  </w:font>
  <w:font w:name="ＭＳ ゴシック">
    <w:altName w:val="ＭＳ ゴシック"/>
    <w:panose1 w:val="00000000000000000000"/>
    <w:charset w:val="80"/>
    <w:family w:val="modern"/>
    <w:pitch w:val="fixed"/>
    <w:sig w:usb0="00000001" w:usb1="08070000" w:usb2="00000010" w:usb3="00000000" w:csb0="00020000" w:csb1="00000000"/>
  </w:font>
  <w:font w:name="Courier">
    <w:altName w:val="Courier"/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000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C310EC42"/>
    <w:lvl w:ilvl="0">
      <w:start w:val="1"/>
      <w:numFmt w:val="decimal"/>
      <w:lvlText w:val="%1."/>
      <w:lvlJc w:val="left"/>
      <w:pPr>
        <w:tabs>
          <w:tab w:val="left" w:leader="none" w:pos="1800"/>
        </w:tabs>
        <w:ind w:left="1800" w:hanging="360"/>
      </w:pPr>
    </w:lvl>
  </w:abstractNum>
  <w:abstractNum w:abstractNumId="1">
    <w:nsid w:val="00000001"/>
    <w:multiLevelType w:val="singleLevel"/>
    <w:tmpl w:val="E4089024"/>
    <w:lvl w:ilvl="0">
      <w:start w:val="1"/>
      <w:numFmt w:val="decimal"/>
      <w:lvlText w:val="%1."/>
      <w:lvlJc w:val="left"/>
      <w:pPr>
        <w:tabs>
          <w:tab w:val="left" w:leader="none" w:pos="1440"/>
        </w:tabs>
        <w:ind w:left="1440" w:hanging="360"/>
      </w:pPr>
    </w:lvl>
  </w:abstractNum>
  <w:abstractNum w:abstractNumId="2">
    <w:nsid w:val="00000002"/>
    <w:multiLevelType w:val="singleLevel"/>
    <w:tmpl w:val="FB12693A"/>
    <w:lvl w:ilvl="0">
      <w:start w:val="1"/>
      <w:numFmt w:val="decimal"/>
      <w:pStyle w:val="style59"/>
      <w:lvlText w:val="%1."/>
      <w:lvlJc w:val="left"/>
      <w:pPr>
        <w:tabs>
          <w:tab w:val="left" w:leader="none" w:pos="1080"/>
        </w:tabs>
        <w:ind w:left="1080" w:hanging="360"/>
      </w:pPr>
    </w:lvl>
  </w:abstractNum>
  <w:abstractNum w:abstractNumId="3">
    <w:nsid w:val="00000003"/>
    <w:multiLevelType w:val="singleLevel"/>
    <w:tmpl w:val="38441652"/>
    <w:lvl w:ilvl="0">
      <w:start w:val="1"/>
      <w:numFmt w:val="decimal"/>
      <w:pStyle w:val="style58"/>
      <w:lvlText w:val="%1."/>
      <w:lvlJc w:val="left"/>
      <w:pPr>
        <w:tabs>
          <w:tab w:val="left" w:leader="none" w:pos="720"/>
        </w:tabs>
        <w:ind w:left="720" w:hanging="360"/>
      </w:pPr>
    </w:lvl>
  </w:abstractNum>
  <w:abstractNum w:abstractNumId="4">
    <w:nsid w:val="00000004"/>
    <w:multiLevelType w:val="singleLevel"/>
    <w:tmpl w:val="171AC3A4"/>
    <w:lvl w:ilvl="0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00000005"/>
    <w:multiLevelType w:val="singleLevel"/>
    <w:tmpl w:val="F3EAFDEC"/>
    <w:lvl w:ilvl="0">
      <w:start w:val="1"/>
      <w:numFmt w:val="bullet"/>
      <w:pStyle w:val="style55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00000006"/>
    <w:multiLevelType w:val="singleLevel"/>
    <w:tmpl w:val="3D1EFFD4"/>
    <w:lvl w:ilvl="0">
      <w:start w:val="1"/>
      <w:numFmt w:val="bullet"/>
      <w:pStyle w:val="style54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00000007"/>
    <w:multiLevelType w:val="singleLevel"/>
    <w:tmpl w:val="D0A62B40"/>
    <w:lvl w:ilvl="0">
      <w:start w:val="1"/>
      <w:numFmt w:val="decimal"/>
      <w:pStyle w:val="style49"/>
      <w:lvlText w:val="%1."/>
      <w:lvlJc w:val="left"/>
      <w:pPr>
        <w:tabs>
          <w:tab w:val="left" w:leader="none" w:pos="360"/>
        </w:tabs>
        <w:ind w:left="360" w:hanging="360"/>
      </w:pPr>
    </w:lvl>
  </w:abstractNum>
  <w:abstractNum w:abstractNumId="8">
    <w:nsid w:val="00000008"/>
    <w:multiLevelType w:val="singleLevel"/>
    <w:tmpl w:val="29761A62"/>
    <w:lvl w:ilvl="0">
      <w:start w:val="1"/>
      <w:numFmt w:val="bullet"/>
      <w:pStyle w:val="style48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val="bestFit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mbria" w:cs="宋体" w:eastAsia="ＭＳ 明朝" w:hAnsi="Cambria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  <w:rPr>
      <w:rFonts w:ascii="Arial" w:hAnsi="Arial"/>
      <w:sz w:val="20"/>
    </w:r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6c9dfcd2-37f8-4788-b542-e02fe0f43ffa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b313d80d-7305-4d54-9d76-59c40be63c10"/>
    <w:basedOn w:val="style65"/>
    <w:next w:val="style4098"/>
    <w:link w:val="style32"/>
    <w:uiPriority w:val="99"/>
  </w:style>
  <w:style w:type="paragraph" w:styleId="style1">
    <w:name w:val="heading 1"/>
    <w:basedOn w:val="style0"/>
    <w:next w:val="style0"/>
    <w:link w:val="style4099"/>
    <w:qFormat/>
    <w:uiPriority w:val="9"/>
    <w:pPr>
      <w:keepNext/>
      <w:keepLines/>
      <w:spacing w:before="480" w:after="0"/>
      <w:outlineLvl w:val="0"/>
    </w:pPr>
    <w:rPr>
      <w:rFonts w:ascii="Calibri" w:cs="宋体" w:eastAsia="ＭＳ ゴシック" w:hAnsi="Calibri"/>
      <w:b/>
      <w:bCs/>
      <w:color w:val="365f91"/>
      <w:sz w:val="28"/>
      <w:szCs w:val="28"/>
    </w:rPr>
  </w:style>
  <w:style w:type="paragraph" w:styleId="style2">
    <w:name w:val="heading 2"/>
    <w:basedOn w:val="style0"/>
    <w:next w:val="style0"/>
    <w:link w:val="style4100"/>
    <w:qFormat/>
    <w:uiPriority w:val="9"/>
    <w:pPr>
      <w:keepNext/>
      <w:keepLines/>
      <w:spacing w:before="200" w:after="0"/>
      <w:outlineLvl w:val="1"/>
    </w:pPr>
    <w:rPr>
      <w:rFonts w:ascii="Calibri" w:cs="宋体" w:eastAsia="ＭＳ ゴシック" w:hAnsi="Calibri"/>
      <w:b/>
      <w:bCs/>
      <w:color w:val="4f81bd"/>
      <w:sz w:val="26"/>
      <w:szCs w:val="26"/>
    </w:rPr>
  </w:style>
  <w:style w:type="paragraph" w:styleId="style3">
    <w:name w:val="heading 3"/>
    <w:basedOn w:val="style0"/>
    <w:next w:val="style0"/>
    <w:link w:val="style4101"/>
    <w:qFormat/>
    <w:uiPriority w:val="9"/>
    <w:pPr>
      <w:keepNext/>
      <w:keepLines/>
      <w:spacing w:before="200" w:after="0"/>
      <w:outlineLvl w:val="2"/>
    </w:pPr>
    <w:rPr>
      <w:rFonts w:ascii="Calibri" w:cs="宋体" w:eastAsia="ＭＳ ゴシック" w:hAnsi="Calibri"/>
      <w:b/>
      <w:bCs/>
      <w:color w:val="4f81bd"/>
    </w:rPr>
  </w:style>
  <w:style w:type="paragraph" w:styleId="style4">
    <w:name w:val="heading 4"/>
    <w:basedOn w:val="style0"/>
    <w:next w:val="style0"/>
    <w:link w:val="style4109"/>
    <w:qFormat/>
    <w:uiPriority w:val="9"/>
    <w:pPr>
      <w:keepNext/>
      <w:keepLines/>
      <w:spacing w:before="200" w:after="0"/>
      <w:outlineLvl w:val="3"/>
    </w:pPr>
    <w:rPr>
      <w:rFonts w:ascii="Calibri" w:cs="宋体" w:eastAsia="ＭＳ ゴシック" w:hAnsi="Calibri"/>
      <w:b/>
      <w:bCs/>
      <w:i/>
      <w:iCs/>
      <w:color w:val="4f81bd"/>
    </w:rPr>
  </w:style>
  <w:style w:type="paragraph" w:styleId="style5">
    <w:name w:val="heading 5"/>
    <w:basedOn w:val="style0"/>
    <w:next w:val="style0"/>
    <w:link w:val="style4110"/>
    <w:qFormat/>
    <w:uiPriority w:val="9"/>
    <w:pPr>
      <w:keepNext/>
      <w:keepLines/>
      <w:spacing w:before="200" w:after="0"/>
      <w:outlineLvl w:val="4"/>
    </w:pPr>
    <w:rPr>
      <w:rFonts w:ascii="Calibri" w:cs="宋体" w:eastAsia="ＭＳ ゴシック" w:hAnsi="Calibri"/>
      <w:color w:val="243f60"/>
    </w:rPr>
  </w:style>
  <w:style w:type="paragraph" w:styleId="style6">
    <w:name w:val="heading 6"/>
    <w:basedOn w:val="style0"/>
    <w:next w:val="style0"/>
    <w:link w:val="style4111"/>
    <w:qFormat/>
    <w:uiPriority w:val="9"/>
    <w:pPr>
      <w:keepNext/>
      <w:keepLines/>
      <w:spacing w:before="200" w:after="0"/>
      <w:outlineLvl w:val="5"/>
    </w:pPr>
    <w:rPr>
      <w:rFonts w:ascii="Calibri" w:cs="宋体" w:eastAsia="ＭＳ ゴシック" w:hAnsi="Calibri"/>
      <w:i/>
      <w:iCs/>
      <w:color w:val="243f60"/>
    </w:rPr>
  </w:style>
  <w:style w:type="paragraph" w:styleId="style7">
    <w:name w:val="heading 7"/>
    <w:basedOn w:val="style0"/>
    <w:next w:val="style0"/>
    <w:link w:val="style4112"/>
    <w:qFormat/>
    <w:uiPriority w:val="9"/>
    <w:pPr>
      <w:keepNext/>
      <w:keepLines/>
      <w:spacing w:before="200" w:after="0"/>
      <w:outlineLvl w:val="6"/>
    </w:pPr>
    <w:rPr>
      <w:rFonts w:ascii="Calibri" w:cs="宋体" w:eastAsia="ＭＳ ゴシック" w:hAnsi="Calibri"/>
      <w:i/>
      <w:iCs/>
      <w:color w:val="404040"/>
    </w:rPr>
  </w:style>
  <w:style w:type="paragraph" w:styleId="style8">
    <w:name w:val="heading 8"/>
    <w:basedOn w:val="style0"/>
    <w:next w:val="style0"/>
    <w:link w:val="style4113"/>
    <w:qFormat/>
    <w:uiPriority w:val="9"/>
    <w:pPr>
      <w:keepNext/>
      <w:keepLines/>
      <w:spacing w:before="200" w:after="0"/>
      <w:outlineLvl w:val="7"/>
    </w:pPr>
    <w:rPr>
      <w:rFonts w:ascii="Calibri" w:cs="宋体" w:eastAsia="ＭＳ ゴシック" w:hAnsi="Calibri"/>
      <w:color w:val="4f81bd"/>
      <w:sz w:val="20"/>
      <w:szCs w:val="20"/>
    </w:rPr>
  </w:style>
  <w:style w:type="paragraph" w:styleId="style9">
    <w:name w:val="heading 9"/>
    <w:basedOn w:val="style0"/>
    <w:next w:val="style0"/>
    <w:link w:val="style4114"/>
    <w:qFormat/>
    <w:uiPriority w:val="9"/>
    <w:pPr>
      <w:keepNext/>
      <w:keepLines/>
      <w:spacing w:before="200" w:after="0"/>
      <w:outlineLvl w:val="8"/>
    </w:pPr>
    <w:rPr>
      <w:rFonts w:ascii="Calibri" w:cs="宋体" w:eastAsia="ＭＳ ゴシック" w:hAnsi="Calibri"/>
      <w:i/>
      <w:iCs/>
      <w:color w:val="404040"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character" w:customStyle="1" w:styleId="style4099">
    <w:name w:val="Heading 1 Char_2248ce7b-996d-4aa8-a70a-79687a072f70"/>
    <w:basedOn w:val="style65"/>
    <w:next w:val="style4099"/>
    <w:link w:val="style1"/>
    <w:uiPriority w:val="9"/>
    <w:rPr>
      <w:rFonts w:ascii="Calibri" w:cs="宋体" w:eastAsia="ＭＳ ゴシック" w:hAnsi="Calibri"/>
      <w:b/>
      <w:bCs/>
      <w:color w:val="365f91"/>
      <w:sz w:val="28"/>
      <w:szCs w:val="28"/>
    </w:rPr>
  </w:style>
  <w:style w:type="character" w:customStyle="1" w:styleId="style4100">
    <w:name w:val="Heading 2 Char_e612fc66-abfd-42a4-a4e0-eae5a6826acb"/>
    <w:basedOn w:val="style65"/>
    <w:next w:val="style4100"/>
    <w:link w:val="style2"/>
    <w:uiPriority w:val="9"/>
    <w:rPr>
      <w:rFonts w:ascii="Calibri" w:cs="宋体" w:eastAsia="ＭＳ ゴシック" w:hAnsi="Calibri"/>
      <w:b/>
      <w:bCs/>
      <w:color w:val="4f81bd"/>
      <w:sz w:val="26"/>
      <w:szCs w:val="26"/>
    </w:rPr>
  </w:style>
  <w:style w:type="character" w:customStyle="1" w:styleId="style4101">
    <w:name w:val="Heading 3 Char_a54e4154-75c4-4422-aa34-18451edef0b6"/>
    <w:basedOn w:val="style65"/>
    <w:next w:val="style4101"/>
    <w:link w:val="style3"/>
    <w:uiPriority w:val="9"/>
    <w:rPr>
      <w:rFonts w:ascii="Calibri" w:cs="宋体" w:eastAsia="ＭＳ ゴシック" w:hAnsi="Calibri"/>
      <w:b/>
      <w:bCs/>
      <w:color w:val="4f81bd"/>
    </w:rPr>
  </w:style>
  <w:style w:type="paragraph" w:styleId="style62">
    <w:name w:val="Title"/>
    <w:basedOn w:val="style0"/>
    <w:next w:val="style0"/>
    <w:link w:val="style4102"/>
    <w:qFormat/>
    <w:uiPriority w:val="10"/>
    <w:pPr>
      <w:pBdr>
        <w:bottom w:val="single" w:sz="8" w:space="4" w:color="4f81bd"/>
      </w:pBdr>
      <w:spacing w:after="300" w:lineRule="auto" w:line="240"/>
      <w:contextualSpacing/>
    </w:pPr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character" w:customStyle="1" w:styleId="style4102">
    <w:name w:val="Title Char_53db973f-aab2-4626-9ab3-c2a10cd751fd"/>
    <w:basedOn w:val="style65"/>
    <w:next w:val="style4102"/>
    <w:link w:val="style62"/>
    <w:uiPriority w:val="10"/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paragraph" w:styleId="style74">
    <w:name w:val="Subtitle"/>
    <w:basedOn w:val="style0"/>
    <w:next w:val="style0"/>
    <w:link w:val="style4103"/>
    <w:qFormat/>
    <w:uiPriority w:val="11"/>
    <w:pPr>
      <w:numPr>
        <w:ilvl w:val="1"/>
        <w:numId w:val="0"/>
      </w:numPr>
    </w:pPr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character" w:customStyle="1" w:styleId="style4103">
    <w:name w:val="Subtitle Char"/>
    <w:basedOn w:val="style65"/>
    <w:next w:val="style4103"/>
    <w:link w:val="style74"/>
    <w:uiPriority w:val="11"/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66">
    <w:name w:val="Body Text"/>
    <w:basedOn w:val="style0"/>
    <w:next w:val="style66"/>
    <w:link w:val="style4104"/>
    <w:uiPriority w:val="99"/>
    <w:pPr>
      <w:spacing w:after="120"/>
    </w:pPr>
    <w:rPr/>
  </w:style>
  <w:style w:type="character" w:customStyle="1" w:styleId="style4104">
    <w:name w:val="Body Text Char"/>
    <w:basedOn w:val="style65"/>
    <w:next w:val="style4104"/>
    <w:link w:val="style66"/>
    <w:uiPriority w:val="99"/>
  </w:style>
  <w:style w:type="paragraph" w:styleId="style80">
    <w:name w:val="Body Text 2"/>
    <w:basedOn w:val="style0"/>
    <w:next w:val="style80"/>
    <w:link w:val="style4105"/>
    <w:uiPriority w:val="99"/>
    <w:pPr>
      <w:spacing w:after="120" w:lineRule="auto" w:line="480"/>
    </w:pPr>
    <w:rPr/>
  </w:style>
  <w:style w:type="character" w:customStyle="1" w:styleId="style4105">
    <w:name w:val="Body Text 2 Char"/>
    <w:basedOn w:val="style65"/>
    <w:next w:val="style4105"/>
    <w:link w:val="style80"/>
    <w:uiPriority w:val="99"/>
  </w:style>
  <w:style w:type="paragraph" w:styleId="style81">
    <w:name w:val="Body Text 3"/>
    <w:basedOn w:val="style0"/>
    <w:next w:val="style81"/>
    <w:link w:val="style4106"/>
    <w:uiPriority w:val="99"/>
    <w:pPr>
      <w:spacing w:after="120"/>
    </w:pPr>
    <w:rPr>
      <w:sz w:val="16"/>
      <w:szCs w:val="16"/>
    </w:rPr>
  </w:style>
  <w:style w:type="character" w:customStyle="1" w:styleId="style4106">
    <w:name w:val="Body Text 3 Char"/>
    <w:basedOn w:val="style65"/>
    <w:next w:val="style4106"/>
    <w:link w:val="style81"/>
    <w:uiPriority w:val="99"/>
    <w:rPr>
      <w:sz w:val="16"/>
      <w:szCs w:val="16"/>
    </w:rPr>
  </w:style>
  <w:style w:type="paragraph" w:styleId="style47">
    <w:name w:val="List"/>
    <w:basedOn w:val="style0"/>
    <w:next w:val="style47"/>
    <w:uiPriority w:val="99"/>
    <w:pPr>
      <w:ind w:left="360" w:hanging="360"/>
      <w:contextualSpacing/>
    </w:pPr>
    <w:rPr/>
  </w:style>
  <w:style w:type="paragraph" w:styleId="style50">
    <w:name w:val="List 2"/>
    <w:basedOn w:val="style0"/>
    <w:next w:val="style50"/>
    <w:uiPriority w:val="99"/>
    <w:pPr>
      <w:ind w:left="720" w:hanging="360"/>
      <w:contextualSpacing/>
    </w:pPr>
    <w:rPr/>
  </w:style>
  <w:style w:type="paragraph" w:styleId="style51">
    <w:name w:val="List 3"/>
    <w:basedOn w:val="style0"/>
    <w:next w:val="style51"/>
    <w:uiPriority w:val="99"/>
    <w:pPr>
      <w:ind w:left="1080" w:hanging="360"/>
      <w:contextualSpacing/>
    </w:pPr>
    <w:rPr/>
  </w:style>
  <w:style w:type="paragraph" w:styleId="style48">
    <w:name w:val="List Bullet"/>
    <w:basedOn w:val="style0"/>
    <w:next w:val="style48"/>
    <w:uiPriority w:val="99"/>
    <w:pPr>
      <w:numPr>
        <w:ilvl w:val="0"/>
        <w:numId w:val="1"/>
      </w:numPr>
      <w:contextualSpacing/>
    </w:pPr>
    <w:rPr/>
  </w:style>
  <w:style w:type="paragraph" w:styleId="style54">
    <w:name w:val="List Bullet 2"/>
    <w:basedOn w:val="style0"/>
    <w:next w:val="style54"/>
    <w:uiPriority w:val="99"/>
    <w:pPr>
      <w:numPr>
        <w:ilvl w:val="0"/>
        <w:numId w:val="2"/>
      </w:numPr>
      <w:contextualSpacing/>
    </w:pPr>
    <w:rPr/>
  </w:style>
  <w:style w:type="paragraph" w:styleId="style55">
    <w:name w:val="List Bullet 3"/>
    <w:basedOn w:val="style0"/>
    <w:next w:val="style55"/>
    <w:uiPriority w:val="99"/>
    <w:pPr>
      <w:numPr>
        <w:ilvl w:val="0"/>
        <w:numId w:val="3"/>
      </w:numPr>
      <w:contextualSpacing/>
    </w:pPr>
    <w:rPr/>
  </w:style>
  <w:style w:type="paragraph" w:styleId="style49">
    <w:name w:val="List Number"/>
    <w:basedOn w:val="style0"/>
    <w:next w:val="style49"/>
    <w:uiPriority w:val="99"/>
    <w:pPr>
      <w:numPr>
        <w:ilvl w:val="0"/>
        <w:numId w:val="4"/>
      </w:numPr>
      <w:contextualSpacing/>
    </w:pPr>
    <w:rPr/>
  </w:style>
  <w:style w:type="paragraph" w:styleId="style58">
    <w:name w:val="List Number 2"/>
    <w:basedOn w:val="style0"/>
    <w:next w:val="style58"/>
    <w:uiPriority w:val="99"/>
    <w:pPr>
      <w:numPr>
        <w:ilvl w:val="0"/>
        <w:numId w:val="5"/>
      </w:numPr>
      <w:contextualSpacing/>
    </w:pPr>
    <w:rPr/>
  </w:style>
  <w:style w:type="paragraph" w:styleId="style59">
    <w:name w:val="List Number 3"/>
    <w:basedOn w:val="style0"/>
    <w:next w:val="style59"/>
    <w:uiPriority w:val="99"/>
    <w:pPr>
      <w:numPr>
        <w:ilvl w:val="0"/>
        <w:numId w:val="6"/>
      </w:numPr>
      <w:contextualSpacing/>
    </w:pPr>
    <w:rPr/>
  </w:style>
  <w:style w:type="paragraph" w:styleId="style68">
    <w:name w:val="List Continue"/>
    <w:basedOn w:val="style0"/>
    <w:next w:val="style68"/>
    <w:uiPriority w:val="99"/>
    <w:pPr>
      <w:spacing w:after="120"/>
      <w:ind w:left="360"/>
      <w:contextualSpacing/>
    </w:pPr>
    <w:rPr/>
  </w:style>
  <w:style w:type="paragraph" w:styleId="style69">
    <w:name w:val="List Continue 2"/>
    <w:basedOn w:val="style0"/>
    <w:next w:val="style69"/>
    <w:uiPriority w:val="99"/>
    <w:pPr>
      <w:spacing w:after="120"/>
      <w:ind w:left="720"/>
      <w:contextualSpacing/>
    </w:pPr>
    <w:rPr/>
  </w:style>
  <w:style w:type="paragraph" w:styleId="style70">
    <w:name w:val="List Continue 3"/>
    <w:basedOn w:val="style0"/>
    <w:next w:val="style70"/>
    <w:uiPriority w:val="99"/>
    <w:pPr>
      <w:spacing w:after="120"/>
      <w:ind w:left="1080"/>
      <w:contextualSpacing/>
    </w:pPr>
    <w:rPr/>
  </w:style>
  <w:style w:type="paragraph" w:styleId="style45">
    <w:name w:val="macro"/>
    <w:next w:val="style45"/>
    <w:link w:val="style4107"/>
    <w:uiPriority w:val="99"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  <w:szCs w:val="20"/>
    </w:rPr>
  </w:style>
  <w:style w:type="character" w:customStyle="1" w:styleId="style4107">
    <w:name w:val="Macro Text Char"/>
    <w:basedOn w:val="style65"/>
    <w:next w:val="style4107"/>
    <w:link w:val="style45"/>
    <w:uiPriority w:val="99"/>
    <w:rPr>
      <w:rFonts w:ascii="Courier" w:hAnsi="Courier"/>
      <w:sz w:val="20"/>
      <w:szCs w:val="20"/>
    </w:rPr>
  </w:style>
  <w:style w:type="paragraph" w:styleId="style180">
    <w:name w:val="Quote"/>
    <w:basedOn w:val="style0"/>
    <w:next w:val="style0"/>
    <w:link w:val="style4108"/>
    <w:qFormat/>
    <w:uiPriority w:val="29"/>
    <w:pPr/>
    <w:rPr>
      <w:i/>
      <w:iCs/>
      <w:color w:val="000000"/>
    </w:rPr>
  </w:style>
  <w:style w:type="character" w:customStyle="1" w:styleId="style4108">
    <w:name w:val="Quote Char_d7f2e0fd-3188-4e78-8bfb-2f6812a16c28"/>
    <w:basedOn w:val="style65"/>
    <w:next w:val="style4108"/>
    <w:link w:val="style180"/>
    <w:uiPriority w:val="29"/>
    <w:rPr>
      <w:i/>
      <w:iCs/>
      <w:color w:val="000000"/>
    </w:rPr>
  </w:style>
  <w:style w:type="character" w:customStyle="1" w:styleId="style4109">
    <w:name w:val="Heading 4 Char_62dc4799-b839-4518-bbc4-ca3f0e1e6396"/>
    <w:basedOn w:val="style65"/>
    <w:next w:val="style4109"/>
    <w:link w:val="style4"/>
    <w:uiPriority w:val="9"/>
    <w:rPr>
      <w:rFonts w:ascii="Calibri" w:cs="宋体" w:eastAsia="ＭＳ ゴシック" w:hAnsi="Calibri"/>
      <w:b/>
      <w:bCs/>
      <w:i/>
      <w:iCs/>
      <w:color w:val="4f81bd"/>
    </w:rPr>
  </w:style>
  <w:style w:type="character" w:customStyle="1" w:styleId="style4110">
    <w:name w:val="Heading 5 Char_c70305db-d500-427a-b336-bfd528de9e16"/>
    <w:basedOn w:val="style65"/>
    <w:next w:val="style4110"/>
    <w:link w:val="style5"/>
    <w:uiPriority w:val="9"/>
    <w:rPr>
      <w:rFonts w:ascii="Calibri" w:cs="宋体" w:eastAsia="ＭＳ ゴシック" w:hAnsi="Calibri"/>
      <w:color w:val="243f60"/>
    </w:rPr>
  </w:style>
  <w:style w:type="character" w:customStyle="1" w:styleId="style4111">
    <w:name w:val="Heading 6 Char_f9ead67f-a401-4450-992f-8d1469cf3229"/>
    <w:basedOn w:val="style65"/>
    <w:next w:val="style4111"/>
    <w:link w:val="style6"/>
    <w:uiPriority w:val="9"/>
    <w:rPr>
      <w:rFonts w:ascii="Calibri" w:cs="宋体" w:eastAsia="ＭＳ ゴシック" w:hAnsi="Calibri"/>
      <w:i/>
      <w:iCs/>
      <w:color w:val="243f60"/>
    </w:rPr>
  </w:style>
  <w:style w:type="character" w:customStyle="1" w:styleId="style4112">
    <w:name w:val="Heading 7 Char_00af7d27-9744-4c77-bb6a-3e8fb6f75e7e"/>
    <w:basedOn w:val="style65"/>
    <w:next w:val="style4112"/>
    <w:link w:val="style7"/>
    <w:uiPriority w:val="9"/>
    <w:rPr>
      <w:rFonts w:ascii="Calibri" w:cs="宋体" w:eastAsia="ＭＳ ゴシック" w:hAnsi="Calibri"/>
      <w:i/>
      <w:iCs/>
      <w:color w:val="404040"/>
    </w:rPr>
  </w:style>
  <w:style w:type="character" w:customStyle="1" w:styleId="style4113">
    <w:name w:val="Heading 8 Char_36e41e93-a252-4d47-9841-3efbcba190ac"/>
    <w:basedOn w:val="style65"/>
    <w:next w:val="style4113"/>
    <w:link w:val="style8"/>
    <w:uiPriority w:val="9"/>
    <w:rPr>
      <w:rFonts w:ascii="Calibri" w:cs="宋体" w:eastAsia="ＭＳ ゴシック" w:hAnsi="Calibri"/>
      <w:color w:val="4f81bd"/>
      <w:sz w:val="20"/>
      <w:szCs w:val="20"/>
    </w:rPr>
  </w:style>
  <w:style w:type="character" w:customStyle="1" w:styleId="style4114">
    <w:name w:val="Heading 9 Char_0c4cff61-3a49-4c45-b849-b8e0c1a96e36"/>
    <w:basedOn w:val="style65"/>
    <w:next w:val="style4114"/>
    <w:link w:val="style9"/>
    <w:uiPriority w:val="9"/>
    <w:rPr>
      <w:rFonts w:ascii="Calibri" w:cs="宋体" w:eastAsia="ＭＳ ゴシック" w:hAnsi="Calibri"/>
      <w:i/>
      <w:iCs/>
      <w:color w:val="404040"/>
      <w:sz w:val="20"/>
      <w:szCs w:val="20"/>
    </w:rPr>
  </w:style>
  <w:style w:type="paragraph" w:styleId="style34">
    <w:name w:val="caption"/>
    <w:basedOn w:val="style0"/>
    <w:next w:val="style0"/>
    <w:qFormat/>
    <w:uiPriority w:val="35"/>
    <w:pPr>
      <w:spacing w:lineRule="auto" w:line="240"/>
    </w:pPr>
    <w:rPr>
      <w:b/>
      <w:bCs/>
      <w:color w:val="4f81bd"/>
      <w:sz w:val="18"/>
      <w:szCs w:val="18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paragraph" w:styleId="style181">
    <w:name w:val="Intense Quote"/>
    <w:basedOn w:val="style0"/>
    <w:next w:val="style0"/>
    <w:link w:val="style4115"/>
    <w:qFormat/>
    <w:uiPriority w:val="3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style4115">
    <w:name w:val="Intense Quote Char_3b7f1513-a353-44af-a195-3f7c62557d4a"/>
    <w:basedOn w:val="style65"/>
    <w:next w:val="style4115"/>
    <w:link w:val="style181"/>
    <w:uiPriority w:val="30"/>
    <w:rPr>
      <w:b/>
      <w:bCs/>
      <w:i/>
      <w:iCs/>
      <w:color w:val="4f81bd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808080"/>
    </w:rPr>
  </w:style>
  <w:style w:type="character" w:styleId="style261">
    <w:name w:val="Intense Emphasis"/>
    <w:basedOn w:val="style65"/>
    <w:next w:val="style261"/>
    <w:qFormat/>
    <w:uiPriority w:val="21"/>
    <w:rPr>
      <w:b/>
      <w:bCs/>
      <w:i/>
      <w:iCs/>
      <w:color w:val="4f81bd"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c0504d"/>
      <w:u w:val="single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c0504d"/>
      <w:spacing w:val="5"/>
      <w:u w:val="single"/>
    </w:rPr>
  </w:style>
  <w:style w:type="character" w:styleId="style264">
    <w:name w:val="Book Title"/>
    <w:basedOn w:val="style65"/>
    <w:next w:val="style264"/>
    <w:qFormat/>
    <w:uiPriority w:val="33"/>
    <w:rPr>
      <w:b/>
      <w:bCs/>
      <w:smallCaps/>
      <w:spacing w:val="5"/>
    </w:rPr>
  </w:style>
  <w:style w:type="paragraph" w:styleId="style266">
    <w:name w:val="TOC Heading"/>
    <w:basedOn w:val="style1"/>
    <w:next w:val="style0"/>
    <w:qFormat/>
    <w:uiPriority w:val="39"/>
    <w:pPr>
      <w:outlineLvl w:val="9"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8">
    <w:name w:val="Light Shading"/>
    <w:basedOn w:val="style105"/>
    <w:next w:val="style158"/>
    <w:uiPriority w:val="60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cPr>
      <w:tcBorders/>
    </w:tcPr>
  </w:style>
  <w:style w:type="table" w:styleId="style172">
    <w:name w:val="Light Shading Accent 1"/>
    <w:basedOn w:val="style105"/>
    <w:next w:val="style172"/>
    <w:uiPriority w:val="60"/>
    <w:pPr>
      <w:spacing w:after="0" w:lineRule="auto" w:line="240"/>
    </w:pPr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cPr>
      <w:tcBorders/>
    </w:tcPr>
  </w:style>
  <w:style w:type="table" w:styleId="style190">
    <w:name w:val="Light Shading Accent 2"/>
    <w:basedOn w:val="style105"/>
    <w:next w:val="style190"/>
    <w:uiPriority w:val="60"/>
    <w:pPr>
      <w:spacing w:after="0" w:lineRule="auto" w:line="240"/>
    </w:pPr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cPr>
      <w:tcBorders/>
    </w:tcPr>
  </w:style>
  <w:style w:type="table" w:styleId="style204">
    <w:name w:val="Light Shading Accent 3"/>
    <w:basedOn w:val="style105"/>
    <w:next w:val="style204"/>
    <w:uiPriority w:val="60"/>
    <w:pPr>
      <w:spacing w:after="0" w:lineRule="auto" w:line="240"/>
    </w:pPr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cPr>
      <w:tcBorders/>
    </w:tcPr>
  </w:style>
  <w:style w:type="table" w:styleId="style218">
    <w:name w:val="Light Shading Accent 4"/>
    <w:basedOn w:val="style105"/>
    <w:next w:val="style218"/>
    <w:uiPriority w:val="60"/>
    <w:pPr>
      <w:spacing w:after="0" w:lineRule="auto" w:line="240"/>
    </w:pPr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cPr>
      <w:tcBorders/>
    </w:tcPr>
  </w:style>
  <w:style w:type="table" w:styleId="style232">
    <w:name w:val="Light Shading Accent 5"/>
    <w:basedOn w:val="style105"/>
    <w:next w:val="style232"/>
    <w:uiPriority w:val="60"/>
    <w:pPr>
      <w:spacing w:after="0" w:lineRule="auto" w:line="240"/>
    </w:pPr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cPr>
      <w:tcBorders/>
    </w:tcPr>
  </w:style>
  <w:style w:type="table" w:styleId="style246">
    <w:name w:val="Light Shading Accent 6"/>
    <w:basedOn w:val="style105"/>
    <w:next w:val="style246"/>
    <w:uiPriority w:val="60"/>
    <w:pPr>
      <w:spacing w:after="0" w:lineRule="auto" w:line="240"/>
    </w:pPr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cPr>
      <w:tcBorders/>
    </w:tcPr>
  </w:style>
  <w:style w:type="table" w:styleId="style159">
    <w:name w:val="Light List"/>
    <w:basedOn w:val="style105"/>
    <w:next w:val="style15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cPr>
      <w:tcBorders/>
    </w:tcPr>
  </w:style>
  <w:style w:type="table" w:styleId="style173">
    <w:name w:val="Light List Accent 1"/>
    <w:basedOn w:val="style105"/>
    <w:next w:val="style17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cPr>
      <w:tcBorders/>
    </w:tcPr>
  </w:style>
  <w:style w:type="table" w:styleId="style191">
    <w:name w:val="Light List Accent 2"/>
    <w:basedOn w:val="style105"/>
    <w:next w:val="style191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cPr>
      <w:tcBorders/>
    </w:tcPr>
  </w:style>
  <w:style w:type="table" w:styleId="style205">
    <w:name w:val="Light List Accent 3"/>
    <w:basedOn w:val="style105"/>
    <w:next w:val="style205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cPr>
      <w:tcBorders/>
    </w:tcPr>
  </w:style>
  <w:style w:type="table" w:styleId="style219">
    <w:name w:val="Light List Accent 4"/>
    <w:basedOn w:val="style105"/>
    <w:next w:val="style21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cPr>
      <w:tcBorders/>
    </w:tcPr>
  </w:style>
  <w:style w:type="table" w:styleId="style233">
    <w:name w:val="Light List Accent 5"/>
    <w:basedOn w:val="style105"/>
    <w:next w:val="style23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cPr>
      <w:tcBorders/>
    </w:tcPr>
  </w:style>
  <w:style w:type="table" w:styleId="style247">
    <w:name w:val="Light List Accent 6"/>
    <w:basedOn w:val="style105"/>
    <w:next w:val="style247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cPr>
      <w:tcBorders/>
    </w:tcPr>
  </w:style>
  <w:style w:type="table" w:styleId="style160">
    <w:name w:val="Light Grid"/>
    <w:basedOn w:val="style105"/>
    <w:next w:val="style16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cPr>
      <w:tcBorders/>
    </w:tcPr>
  </w:style>
  <w:style w:type="table" w:styleId="style174">
    <w:name w:val="Light Grid Accent 1"/>
    <w:basedOn w:val="style105"/>
    <w:next w:val="style17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cPr>
      <w:tcBorders/>
    </w:tcPr>
  </w:style>
  <w:style w:type="table" w:styleId="style192">
    <w:name w:val="Light Grid Accent 2"/>
    <w:basedOn w:val="style105"/>
    <w:next w:val="style192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cPr>
      <w:tcBorders/>
    </w:tcPr>
  </w:style>
  <w:style w:type="table" w:styleId="style206">
    <w:name w:val="Light Grid Accent 3"/>
    <w:basedOn w:val="style105"/>
    <w:next w:val="style206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cPr>
      <w:tcBorders/>
    </w:tcPr>
  </w:style>
  <w:style w:type="table" w:styleId="style220">
    <w:name w:val="Light Grid Accent 4"/>
    <w:basedOn w:val="style105"/>
    <w:next w:val="style22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cPr>
      <w:tcBorders/>
    </w:tcPr>
  </w:style>
  <w:style w:type="table" w:styleId="style234">
    <w:name w:val="Light Grid Accent 5"/>
    <w:basedOn w:val="style105"/>
    <w:next w:val="style23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cPr>
      <w:tcBorders/>
    </w:tcPr>
  </w:style>
  <w:style w:type="table" w:styleId="style248">
    <w:name w:val="Light Grid Accent 6"/>
    <w:basedOn w:val="style105"/>
    <w:next w:val="style248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cPr>
      <w:tcBorders/>
    </w:tcPr>
  </w:style>
  <w:style w:type="table" w:styleId="style161">
    <w:name w:val="Medium Shading 1"/>
    <w:basedOn w:val="style105"/>
    <w:next w:val="style16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5">
    <w:name w:val="Medium Shading 1 Accent 1"/>
    <w:basedOn w:val="style105"/>
    <w:next w:val="style17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3">
    <w:name w:val="Medium Shading 1 Accent 2"/>
    <w:basedOn w:val="style105"/>
    <w:next w:val="style193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7">
    <w:name w:val="Medium Shading 1 Accent 3"/>
    <w:basedOn w:val="style105"/>
    <w:next w:val="style207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1">
    <w:name w:val="Medium Shading 1 Accent 4"/>
    <w:basedOn w:val="style105"/>
    <w:next w:val="style22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5">
    <w:name w:val="Medium Shading 1 Accent 5"/>
    <w:basedOn w:val="style105"/>
    <w:next w:val="style23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49">
    <w:name w:val="Medium Shading 1 Accent 6"/>
    <w:basedOn w:val="style105"/>
    <w:next w:val="style249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2">
    <w:name w:val="Medium Shading 2"/>
    <w:basedOn w:val="style105"/>
    <w:next w:val="style16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76">
    <w:name w:val="Medium Shading 2 Accent 1"/>
    <w:basedOn w:val="style105"/>
    <w:next w:val="style17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94">
    <w:name w:val="Medium Shading 2 Accent 2"/>
    <w:basedOn w:val="style105"/>
    <w:next w:val="style194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08">
    <w:name w:val="Medium Shading 2 Accent 3"/>
    <w:basedOn w:val="style105"/>
    <w:next w:val="style208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22">
    <w:name w:val="Medium Shading 2 Accent 4"/>
    <w:basedOn w:val="style105"/>
    <w:next w:val="style22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36">
    <w:name w:val="Medium Shading 2 Accent 5"/>
    <w:basedOn w:val="style105"/>
    <w:next w:val="style23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50">
    <w:name w:val="Medium Shading 2 Accent 6"/>
    <w:basedOn w:val="style105"/>
    <w:next w:val="style250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63">
    <w:name w:val="Medium List 1"/>
    <w:basedOn w:val="style105"/>
    <w:next w:val="style16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Horz">
      <w:pPr/>
      <w:tblPr/>
      <w:tcPr>
        <w:tcBorders/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7">
    <w:name w:val="Medium List 1 Accent 1"/>
    <w:basedOn w:val="style105"/>
    <w:next w:val="style17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Horz">
      <w:pPr/>
      <w:tblPr/>
      <w:tcPr>
        <w:tcBorders/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5">
    <w:name w:val="Medium List 1 Accent 2"/>
    <w:basedOn w:val="style105"/>
    <w:next w:val="style195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Horz">
      <w:pPr/>
      <w:tblPr/>
      <w:tcPr>
        <w:tcBorders/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9">
    <w:name w:val="Medium List 1 Accent 3"/>
    <w:basedOn w:val="style105"/>
    <w:next w:val="style209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Horz">
      <w:pPr/>
      <w:tblPr/>
      <w:tcPr>
        <w:tcBorders/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3">
    <w:name w:val="Medium List 1 Accent 4"/>
    <w:basedOn w:val="style105"/>
    <w:next w:val="style22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Horz">
      <w:pPr/>
      <w:tblPr/>
      <w:tcPr>
        <w:tcBorders/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7">
    <w:name w:val="Medium List 1 Accent 5"/>
    <w:basedOn w:val="style105"/>
    <w:next w:val="style23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Horz">
      <w:pPr/>
      <w:tblPr/>
      <w:tcPr>
        <w:tcBorders/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51">
    <w:name w:val="Medium List 1 Accent 6"/>
    <w:basedOn w:val="style105"/>
    <w:next w:val="style251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Horz">
      <w:pPr/>
      <w:tblPr/>
      <w:tcPr>
        <w:tcBorders/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4">
    <w:name w:val="Medium List 2"/>
    <w:basedOn w:val="style105"/>
    <w:next w:val="style16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82">
    <w:name w:val="Medium List 2 Accent 1"/>
    <w:basedOn w:val="style105"/>
    <w:next w:val="style18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96">
    <w:name w:val="Medium List 2 Accent 2"/>
    <w:basedOn w:val="style105"/>
    <w:next w:val="style196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10">
    <w:name w:val="Medium List 2 Accent 3"/>
    <w:basedOn w:val="style105"/>
    <w:next w:val="style210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24">
    <w:name w:val="Medium List 2 Accent 4"/>
    <w:basedOn w:val="style105"/>
    <w:next w:val="style22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38">
    <w:name w:val="Medium List 2 Accent 5"/>
    <w:basedOn w:val="style105"/>
    <w:next w:val="style238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52">
    <w:name w:val="Medium List 2 Accent 6"/>
    <w:basedOn w:val="style105"/>
    <w:next w:val="style25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65">
    <w:name w:val="Medium Grid 1"/>
    <w:basedOn w:val="style105"/>
    <w:next w:val="style16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404040"/>
        </w:tcBorders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0c0c0"/>
    </w:tcPr>
  </w:style>
  <w:style w:type="table" w:styleId="style183">
    <w:name w:val="Medium Grid 1 Accent 1"/>
    <w:basedOn w:val="style105"/>
    <w:next w:val="style18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ba0cd"/>
        </w:tcBorders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3dfee"/>
    </w:tcPr>
  </w:style>
  <w:style w:type="table" w:styleId="style197">
    <w:name w:val="Medium Grid 1 Accent 2"/>
    <w:basedOn w:val="style105"/>
    <w:next w:val="style197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cf7b79"/>
        </w:tcBorders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efd3d2"/>
    </w:tcPr>
  </w:style>
  <w:style w:type="table" w:styleId="style211">
    <w:name w:val="Medium Grid 1 Accent 3"/>
    <w:basedOn w:val="style105"/>
    <w:next w:val="style211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b3cc82"/>
        </w:tcBorders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6eed5"/>
    </w:tcPr>
  </w:style>
  <w:style w:type="table" w:styleId="style225">
    <w:name w:val="Medium Grid 1 Accent 4"/>
    <w:basedOn w:val="style105"/>
    <w:next w:val="style22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9f8ab9"/>
        </w:tcBorders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dfd8e8"/>
    </w:tcPr>
  </w:style>
  <w:style w:type="table" w:styleId="style239">
    <w:name w:val="Medium Grid 1 Accent 5"/>
    <w:basedOn w:val="style105"/>
    <w:next w:val="style239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8c0d4"/>
        </w:tcBorders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2eaf1"/>
    </w:tcPr>
  </w:style>
  <w:style w:type="table" w:styleId="style253">
    <w:name w:val="Medium Grid 1 Accent 6"/>
    <w:basedOn w:val="style105"/>
    <w:next w:val="style25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f9b074"/>
        </w:tcBorders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4d0"/>
    </w:tcPr>
  </w:style>
  <w:style w:type="table" w:styleId="style166">
    <w:name w:val="Medium Grid 2"/>
    <w:basedOn w:val="style105"/>
    <w:next w:val="style16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6e6e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pPr/>
      <w:tblPr/>
      <w:tcPr>
        <w:tcBorders/>
        <w:shd w:val="clear" w:color="auto" w:fill="80808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c0c0c0"/>
    </w:tcPr>
  </w:style>
  <w:style w:type="table" w:styleId="style184">
    <w:name w:val="Medium Grid 2 Accent 1"/>
    <w:basedOn w:val="style105"/>
    <w:next w:val="style18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2f8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pPr/>
      <w:tblPr/>
      <w:tcPr>
        <w:tcBorders/>
        <w:shd w:val="clear" w:color="auto" w:fill="a7bfde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3dfee"/>
    </w:tcPr>
  </w:style>
  <w:style w:type="table" w:styleId="style198">
    <w:name w:val="Medium Grid 2 Accent 2"/>
    <w:basedOn w:val="style105"/>
    <w:next w:val="style198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8eded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pPr/>
      <w:tblPr/>
      <w:tcPr>
        <w:tcBorders/>
        <w:shd w:val="clear" w:color="auto" w:fill="dfa7a6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fd3d2"/>
    </w:tcPr>
  </w:style>
  <w:style w:type="table" w:styleId="style212">
    <w:name w:val="Medium Grid 2 Accent 3"/>
    <w:basedOn w:val="style105"/>
    <w:next w:val="style212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5f8ee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pPr/>
      <w:tblPr/>
      <w:tcPr>
        <w:tcBorders/>
        <w:shd w:val="clear" w:color="auto" w:fill="cdddac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6eed5"/>
    </w:tcPr>
  </w:style>
  <w:style w:type="table" w:styleId="style226">
    <w:name w:val="Medium Grid 2 Accent 4"/>
    <w:basedOn w:val="style105"/>
    <w:next w:val="style22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2eff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pPr/>
      <w:tblPr/>
      <w:tcPr>
        <w:tcBorders/>
        <w:shd w:val="clear" w:color="auto" w:fill="bfb1d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fd8e8"/>
    </w:tcPr>
  </w:style>
  <w:style w:type="table" w:styleId="style240">
    <w:name w:val="Medium Grid 2 Accent 5"/>
    <w:basedOn w:val="style105"/>
    <w:next w:val="style240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6f9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pPr/>
      <w:tblPr/>
      <w:tcPr>
        <w:tcBorders/>
        <w:shd w:val="clear" w:color="auto" w:fill="a5d5e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2eaf1"/>
    </w:tcPr>
  </w:style>
  <w:style w:type="table" w:styleId="style254">
    <w:name w:val="Medium Grid 2 Accent 6"/>
    <w:basedOn w:val="style105"/>
    <w:next w:val="style25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ef4ec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pPr/>
      <w:tblPr/>
      <w:tcPr>
        <w:tcBorders/>
        <w:shd w:val="clear" w:color="auto" w:fill="fbcaa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fde4d0"/>
    </w:tcPr>
  </w:style>
  <w:style w:type="table" w:styleId="style167">
    <w:name w:val="Medium Grid 3"/>
    <w:basedOn w:val="style105"/>
    <w:next w:val="style16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table" w:styleId="style168">
    <w:name w:val="Dark List"/>
    <w:basedOn w:val="style105"/>
    <w:next w:val="style16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00000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cPr>
      <w:tcBorders/>
      <w:shd w:val="clear" w:color="auto" w:fill="000000"/>
    </w:tcPr>
  </w:style>
  <w:style w:type="table" w:styleId="style186">
    <w:name w:val="Dark List Accent 1"/>
    <w:basedOn w:val="style105"/>
    <w:next w:val="style18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cPr>
      <w:tcBorders/>
      <w:shd w:val="clear" w:color="auto" w:fill="4f81bd"/>
    </w:tcPr>
  </w:style>
  <w:style w:type="table" w:styleId="style200">
    <w:name w:val="Dark List Accent 2"/>
    <w:basedOn w:val="style105"/>
    <w:next w:val="style200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c0504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cPr>
      <w:tcBorders/>
      <w:shd w:val="clear" w:color="auto" w:fill="c0504d"/>
    </w:tcPr>
  </w:style>
  <w:style w:type="table" w:styleId="style214">
    <w:name w:val="Dark List Accent 3"/>
    <w:basedOn w:val="style105"/>
    <w:next w:val="style214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9bbb5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cPr>
      <w:tcBorders/>
      <w:shd w:val="clear" w:color="auto" w:fill="9bbb59"/>
    </w:tcPr>
  </w:style>
  <w:style w:type="table" w:styleId="style228">
    <w:name w:val="Dark List Accent 4"/>
    <w:basedOn w:val="style105"/>
    <w:next w:val="style22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8064a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cPr>
      <w:tcBorders/>
      <w:shd w:val="clear" w:color="auto" w:fill="8064a2"/>
    </w:tcPr>
  </w:style>
  <w:style w:type="table" w:styleId="style242">
    <w:name w:val="Dark List Accent 5"/>
    <w:basedOn w:val="style105"/>
    <w:next w:val="style242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bacc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cPr>
      <w:tcBorders/>
      <w:shd w:val="clear" w:color="auto" w:fill="4bacc6"/>
    </w:tcPr>
  </w:style>
  <w:style w:type="table" w:styleId="style256">
    <w:name w:val="Dark List Accent 6"/>
    <w:basedOn w:val="style105"/>
    <w:next w:val="style25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f7964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cPr>
      <w:tcBorders/>
      <w:shd w:val="clear" w:color="auto" w:fill="f79646"/>
    </w:tcPr>
  </w:style>
  <w:style w:type="table" w:styleId="style169">
    <w:name w:val="Colorful Shading"/>
    <w:basedOn w:val="style105"/>
    <w:next w:val="style16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/>
        <w:shd w:val="clear" w:color="auto" w:fill="99999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6e6e6"/>
    </w:tcPr>
  </w:style>
  <w:style w:type="table" w:styleId="style187">
    <w:name w:val="Colorful Shading Accent 1"/>
    <w:basedOn w:val="style105"/>
    <w:next w:val="style18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pPr/>
      <w:tblPr/>
      <w:tcPr>
        <w:tcBorders/>
        <w:shd w:val="clear" w:color="auto" w:fill="b8cce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2f8"/>
    </w:tcPr>
  </w:style>
  <w:style w:type="table" w:styleId="style201">
    <w:name w:val="Colorful Shading Accent 2"/>
    <w:basedOn w:val="style105"/>
    <w:next w:val="style201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pPr/>
      <w:tblPr/>
      <w:tcPr>
        <w:tcBorders/>
        <w:shd w:val="clear" w:color="auto" w:fill="e5b8b7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8eded"/>
    </w:tcPr>
  </w:style>
  <w:style w:type="table" w:styleId="style215">
    <w:name w:val="Colorful Shading Accent 3"/>
    <w:basedOn w:val="style105"/>
    <w:next w:val="style215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pPr/>
      <w:tblPr/>
      <w:tcPr>
        <w:tcBorders/>
        <w:shd w:val="clear" w:color="auto" w:fill="d6e3bc"/>
      </w:tcPr>
    </w:tblStylePr>
    <w:tcPr>
      <w:tcBorders/>
      <w:shd w:val="clear" w:color="auto" w:fill="f5f8ee"/>
    </w:tcPr>
  </w:style>
  <w:style w:type="table" w:styleId="style229">
    <w:name w:val="Colorful Shading Accent 4"/>
    <w:basedOn w:val="style105"/>
    <w:next w:val="style22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pPr/>
      <w:tblPr/>
      <w:tcPr>
        <w:tcBorders/>
        <w:shd w:val="clear" w:color="auto" w:fill="ccc0d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2eff6"/>
    </w:tcPr>
  </w:style>
  <w:style w:type="table" w:styleId="style243">
    <w:name w:val="Colorful Shading Accent 5"/>
    <w:basedOn w:val="style105"/>
    <w:next w:val="style243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pPr/>
      <w:tblPr/>
      <w:tcPr>
        <w:tcBorders/>
        <w:shd w:val="clear" w:color="auto" w:fill="b6dde8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6f9"/>
    </w:tcPr>
  </w:style>
  <w:style w:type="table" w:styleId="style257">
    <w:name w:val="Colorful Shading Accent 6"/>
    <w:basedOn w:val="style105"/>
    <w:next w:val="style25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pPr/>
      <w:tblPr/>
      <w:tcPr>
        <w:tcBorders/>
        <w:shd w:val="clear" w:color="auto" w:fill="fbd4b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ef4ec"/>
    </w:tcPr>
  </w:style>
  <w:style w:type="table" w:styleId="style170">
    <w:name w:val="Colorful List"/>
    <w:basedOn w:val="style105"/>
    <w:next w:val="style17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cPr>
      <w:tcBorders/>
      <w:shd w:val="clear" w:color="auto" w:fill="e6e6e6"/>
    </w:tcPr>
  </w:style>
  <w:style w:type="table" w:styleId="style188">
    <w:name w:val="Colorful List Accent 1"/>
    <w:basedOn w:val="style105"/>
    <w:next w:val="style18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be5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cPr>
      <w:tcBorders/>
      <w:shd w:val="clear" w:color="auto" w:fill="edf2f8"/>
    </w:tcPr>
  </w:style>
  <w:style w:type="table" w:styleId="style202">
    <w:name w:val="Colorful List Accent 2"/>
    <w:basedOn w:val="style105"/>
    <w:next w:val="style202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dbdb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cPr>
      <w:tcBorders/>
      <w:shd w:val="clear" w:color="auto" w:fill="f8eded"/>
    </w:tcPr>
  </w:style>
  <w:style w:type="table" w:styleId="style216">
    <w:name w:val="Colorful List Accent 3"/>
    <w:basedOn w:val="style105"/>
    <w:next w:val="style216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pPr/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af1dd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cPr>
      <w:tcBorders/>
      <w:shd w:val="clear" w:color="auto" w:fill="f5f8ee"/>
    </w:tcPr>
  </w:style>
  <w:style w:type="table" w:styleId="style230">
    <w:name w:val="Colorful List Accent 4"/>
    <w:basedOn w:val="style105"/>
    <w:next w:val="style23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pPr/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5dfe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cPr>
      <w:tcBorders/>
      <w:shd w:val="clear" w:color="auto" w:fill="f2eff6"/>
    </w:tcPr>
  </w:style>
  <w:style w:type="table" w:styleId="style244">
    <w:name w:val="Colorful List Accent 5"/>
    <w:basedOn w:val="style105"/>
    <w:next w:val="style244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pPr/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cPr>
      <w:tcBorders/>
      <w:shd w:val="clear" w:color="auto" w:fill="edf6f9"/>
    </w:tcPr>
  </w:style>
  <w:style w:type="table" w:styleId="style258">
    <w:name w:val="Colorful List Accent 6"/>
    <w:basedOn w:val="style105"/>
    <w:next w:val="style25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pPr/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de9d9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cPr>
      <w:tcBorders/>
      <w:shd w:val="clear" w:color="auto" w:fill="fef4ec"/>
    </w:tcPr>
  </w:style>
  <w:style w:type="table" w:styleId="style171">
    <w:name w:val="Colorful Grid"/>
    <w:basedOn w:val="style105"/>
    <w:next w:val="style17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ccccc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99999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999999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/>
        <w:shd w:val="clear" w:color="auto" w:fill="000000"/>
      </w:tcPr>
    </w:tblStylePr>
    <w:tblStylePr w:type="lastCol">
      <w:pPr/>
      <w:rPr>
        <w:color w:val="ffffff"/>
      </w:rPr>
      <w:tblPr/>
      <w:tcPr>
        <w:tcBorders/>
        <w:shd w:val="clear" w:color="auto" w:fill="000000"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ccccc"/>
    </w:tcPr>
  </w:style>
  <w:style w:type="table" w:styleId="style189">
    <w:name w:val="Colorful Grid Accent 1"/>
    <w:basedOn w:val="style105"/>
    <w:next w:val="style18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be5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8cce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8cce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/>
        <w:shd w:val="clear" w:color="auto" w:fill="365f91"/>
      </w:tcPr>
    </w:tblStylePr>
    <w:tblStylePr w:type="lastCol">
      <w:pPr/>
      <w:rPr>
        <w:color w:val="ffffff"/>
      </w:rPr>
      <w:tblPr/>
      <w:tcPr>
        <w:tcBorders/>
        <w:shd w:val="clear" w:color="auto" w:fill="365f91"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be5f1"/>
    </w:tcPr>
  </w:style>
  <w:style w:type="table" w:styleId="style203">
    <w:name w:val="Colorful Grid Accent 2"/>
    <w:basedOn w:val="style105"/>
    <w:next w:val="style203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2dbdb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e5b8b7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e5b8b7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/>
        <w:shd w:val="clear" w:color="auto" w:fill="943634"/>
      </w:tcPr>
    </w:tblStylePr>
    <w:tblStylePr w:type="lastCol">
      <w:pPr/>
      <w:rPr>
        <w:color w:val="ffffff"/>
      </w:rPr>
      <w:tblPr/>
      <w:tcPr>
        <w:tcBorders/>
        <w:shd w:val="clear" w:color="auto" w:fill="943634"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f2dbdb"/>
    </w:tcPr>
  </w:style>
  <w:style w:type="table" w:styleId="style217">
    <w:name w:val="Colorful Grid Accent 3"/>
    <w:basedOn w:val="style105"/>
    <w:next w:val="style217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af1d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d6e3bc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d6e3bc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/>
        <w:shd w:val="clear" w:color="auto" w:fill="76923c"/>
      </w:tcPr>
    </w:tblStylePr>
    <w:tblStylePr w:type="lastCol">
      <w:pPr/>
      <w:rPr>
        <w:color w:val="ffffff"/>
      </w:rPr>
      <w:tblPr/>
      <w:tcPr>
        <w:tcBorders/>
        <w:shd w:val="clear" w:color="auto" w:fill="76923c"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af1dd"/>
    </w:tcPr>
  </w:style>
  <w:style w:type="table" w:styleId="style231">
    <w:name w:val="Colorful Grid Accent 4"/>
    <w:basedOn w:val="style105"/>
    <w:next w:val="style23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ccc0d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ccc0d9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/>
        <w:shd w:val="clear" w:color="auto" w:fill="5f497a"/>
      </w:tcPr>
    </w:tblStylePr>
    <w:tblStylePr w:type="lastCol">
      <w:pPr/>
      <w:rPr>
        <w:color w:val="ffffff"/>
      </w:rPr>
      <w:tblPr/>
      <w:tcPr>
        <w:tcBorders/>
        <w:shd w:val="clear" w:color="auto" w:fill="5f497a"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e5dfec"/>
    </w:tcPr>
  </w:style>
  <w:style w:type="table" w:styleId="style245">
    <w:name w:val="Colorful Grid Accent 5"/>
    <w:basedOn w:val="style105"/>
    <w:next w:val="style245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6dde8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6dde8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/>
        <w:shd w:val="clear" w:color="auto" w:fill="31849b"/>
      </w:tcPr>
    </w:tblStylePr>
    <w:tblStylePr w:type="lastCol">
      <w:pPr/>
      <w:rPr>
        <w:color w:val="ffffff"/>
      </w:rPr>
      <w:tblPr/>
      <w:tcPr>
        <w:tcBorders/>
        <w:shd w:val="clear" w:color="auto" w:fill="31849b"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aeef3"/>
    </w:tcPr>
  </w:style>
  <w:style w:type="table" w:styleId="style259">
    <w:name w:val="Colorful Grid Accent 6"/>
    <w:basedOn w:val="style105"/>
    <w:next w:val="style25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de9d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fbd4b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fbd4b4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/>
        <w:shd w:val="clear" w:color="auto" w:fill="e36c0a"/>
      </w:tcPr>
    </w:tblStylePr>
    <w:tblStylePr w:type="lastCol">
      <w:pPr/>
      <w:rPr>
        <w:color w:val="ffffff"/>
      </w:rPr>
      <w:tblPr/>
      <w:tcPr>
        <w:tcBorders/>
        <w:shd w:val="clear" w:color="auto" w:fill="e36c0a"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9d9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831</Words>
  <Pages>1</Pages>
  <Characters>5453</Characters>
  <Application>WPS Office</Application>
  <DocSecurity>0</DocSecurity>
  <Paragraphs>312</Paragraphs>
  <ScaleCrop>false</ScaleCrop>
  <LinksUpToDate>false</LinksUpToDate>
  <CharactersWithSpaces>6043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٢٠٢٦-٠٥-١٨T١٧:٤٥:٣٩Z</dcterms:created>
  <dc:creator>python-docx</dc:creator>
  <dc:description>generated by python-docx</dc:description>
  <lastModifiedBy>SM-G998U</lastModifiedBy>
  <dcterms:modified xsi:type="dcterms:W3CDTF">٢٠٢٦-٠٥-١٨T١٧:٤٥:٣٩Z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4329b65bf70c492289aa92fec3f1ec76</vt:lpwstr>
  </property>
</Properties>
</file>