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Supplementary Tables </w:t>
      </w:r>
    </w:p>
    <w:p>
      <w:pPr>
        <w:pStyle w:val="style2"/>
        <w:rPr/>
      </w:pPr>
      <w:r>
        <w:t>Table S1. Complete Correlation Matrix of Study Variables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9"/>
        <w:gridCol w:w="685"/>
        <w:gridCol w:w="541"/>
        <w:gridCol w:w="757"/>
        <w:gridCol w:w="757"/>
        <w:gridCol w:w="757"/>
        <w:gridCol w:w="757"/>
        <w:gridCol w:w="757"/>
        <w:gridCol w:w="757"/>
        <w:gridCol w:w="757"/>
        <w:gridCol w:w="541"/>
        <w:gridCol w:w="541"/>
      </w:tblGrid>
      <w:tr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5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7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8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9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11</w:t>
            </w: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 Age (months)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2. Sex (Female)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-0.02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3. Displacement Status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0.08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0.04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4. Conflict Exposure Score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0.15*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0.06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0.32***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5. PTSD Severity Score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0.11*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0.45***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6. Depression Score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0.09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0.07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0.26***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0.41***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0.68***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7. General Distress Index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0.12*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0.07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0.30***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0.48***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0.92***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0.88***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8. CRP (mg/L)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0.03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0.24***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0.31***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0.36***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0.42***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9. Haemoglobin (g/dL)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0.18**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0.04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-0.22***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-0.25***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-0.34***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-0.33***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-0.38***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-0.35***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10. Ferritin (ng/mL)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0.21**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-0.05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0.08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0.12*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0.16**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0.17**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0.18**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0.22***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-0.09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11. Food Insecurity Level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0.02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0.41***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0.32***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0.29***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0.34***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0.28***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-0.31***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0.10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/>
            </w:pPr>
            <w:r>
              <w:t>1.00</w:t>
            </w:r>
          </w:p>
        </w:tc>
      </w:tr>
    </w:tbl>
    <w:p>
      <w:pPr>
        <w:pStyle w:val="style0"/>
        <w:rPr/>
      </w:pPr>
      <w:r>
        <w:rPr>
          <w:i/>
        </w:rPr>
        <w:br/>
      </w:r>
      <w:r>
        <w:rPr>
          <w:i/>
        </w:rPr>
        <w:t>Notes: *p &lt; 0.05, **p &lt; 0.01, ***p &lt; 0.001. Sex coded as 0 = male, 1 = female. Displacement coded as 0 = resident, 1 = internally displaced. Food insecurity coded as 0 = secure, 1 = mild, 2 = moderate, 3 = severe.</w:t>
      </w:r>
    </w:p>
    <w:p>
      <w:pPr>
        <w:pStyle w:val="style0"/>
        <w:rPr/>
      </w:pPr>
      <w:r>
        <w:br w:type="page"/>
      </w:r>
    </w:p>
    <w:p>
      <w:pPr>
        <w:pStyle w:val="style2"/>
        <w:rPr/>
      </w:pPr>
      <w:r>
        <w:t>Table S2. Complete Multivariable Regression Results for Haemoglobin (Full Model Output)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86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β (95% CI)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t-value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Standardized β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Model 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Intercept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11.23 (10.85–11.61)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58.12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Age (months)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0.012 (0.008–0.016)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5.41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0.18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Sex (Female)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0.08 (-0.11–0.27)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0.84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0.401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0.04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General Distress Index (per SD)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-0.38 (-0.45 to -0.31)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-9.75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-0.42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Model 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Intercept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11.85 (11.41–12.29)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0.22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53.18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Age (months)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0.010 (0.006–0.014)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4.62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0.15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Sex (Female)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0.06 (-0.12–0.24)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0.71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0.479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0.03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Displacement (Yes)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-0.41 (-0.62 to -0.20)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-3.82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-0.19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Food Insecurity (Severe)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-0.52 (-0.75 to -0.29)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-4.42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-0.21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General Distress Index (per SD)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-0.29 (-0.36 to -0.22)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-7.25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-0.32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Model 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Intercept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12.41 (11.94–12.88)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0.24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51.75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Age (months)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0.009 (0.005–0.013)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4.18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0.14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Sex (Female)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0.05 (-0.13–0.23)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0.60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0.552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0.02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Displacement (Yes)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-0.35 (-0.55 to -0.15)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-3.40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-0.16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Food Insecurity (Severe)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-0.45 (-0.67 to -0.23)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-4.02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-0.18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CRP (log-transformed)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-0.31 (-0.40 to -0.22)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-6.72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-0.28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General Distress Index (per SD)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-0.17 (-0.24 to -0.10)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-4.25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-0.19</w:t>
            </w:r>
          </w:p>
        </w:tc>
      </w:tr>
    </w:tbl>
    <w:p>
      <w:pPr>
        <w:pStyle w:val="style0"/>
        <w:rPr/>
      </w:pPr>
      <w:r>
        <w:br w:type="page"/>
      </w:r>
    </w:p>
    <w:p>
      <w:pPr>
        <w:pStyle w:val="style2"/>
        <w:rPr/>
      </w:pPr>
      <w:r>
        <w:t>Table S3. Formal Mediation Analysis Results Using PROCESS Macro (Model 4)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Effect Type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Effect Estimate (β)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Boot 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Boot 95% CI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Proportion of Total Effect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Total Effect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-0.38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0.035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(-0.45 to -0.31)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100%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Direct Effect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-0.26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0.036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(-0.33 to -0.19)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68.4%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Indirect Effect (via CRP)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-0.12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0.021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(-0.16 to -0.08)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31.6%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Model Fit Indices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R² for Haemoglobin Model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0.31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R² for CRP Model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Mediation Paths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Distress → CRP (a path)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0.42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0.041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(0.34–0.50)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CRP → Haemoglobin (b path)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-0.29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0.043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(-0.37 to -0.21)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 S4. Distribution of Anaemia Subtypes by Distress Quartiles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426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Distress Quartile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Total N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Normal Hb n (%)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IDA n (%)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IRA n (%)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Non-inflammatory Anaemia* n (%)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p-value†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Q1 (Lowest)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150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87 (58.0)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8 (5.3)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22 (14.7)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33 (22.0)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Q2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149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68 (45.6)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10 (6.7)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35 (23.5)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36 (24.2)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Q3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150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50 (33.3)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12 (8.0)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48 (32.0)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40 (26.7)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Q4 (Highest)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151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37 (24.5)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15 (9.9)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57 (37.7)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42 (27.8)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Total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242 (40.3)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45 (7.5)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162 (27.0)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  <w:r>
              <w:t>151 (25.2)</w:t>
            </w:r>
          </w:p>
        </w:tc>
        <w:tc>
          <w:tcPr>
            <w:tcW w:w="1234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rPr>
          <w:i/>
        </w:rPr>
        <w:br/>
      </w:r>
      <w:r>
        <w:rPr>
          <w:i/>
        </w:rPr>
        <w:t>Notes: *Non-inflammatory anaemia: Hb &lt;11.0 g/dL, CRP ≤5 mg/L, ferritin ≥12 ng/mL. †Chi-square test for trend across quartiles. IDA = Iron Deficiency Anaemia, IRA = Inflammation-Related Anaemia.</w:t>
      </w:r>
    </w:p>
    <w:p>
      <w:pPr>
        <w:pStyle w:val="style0"/>
        <w:rPr/>
      </w:pPr>
    </w:p>
    <w:p>
      <w:pPr>
        <w:pStyle w:val="style0"/>
        <w:keepNext/>
        <w:keepLines/>
        <w:spacing w:before="200" w:lineRule="auto" w:line="276"/>
        <w:jc w:val="left"/>
        <w:outlineLvl w:val="1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S5.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Multivariable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Logistic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Regression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Anaemia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Subtypes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Variable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Inflammation-Related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(95%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Iron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Deficiency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(95%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Non-inflammatory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(95%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General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Index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(per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1.82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(1.42-2.34)***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1.18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(0.92-1.52)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1.41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(1.11-1.79)**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Age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(months)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0.99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(0.98-1.00)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1.00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(0.99-1.01)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1.00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(0.99-1.01)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Sex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(Female)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0.92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(0.63-1.34)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1.12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(0.58-2.16)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0.88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(0.58-1.34)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Displacement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(Yes)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1.68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(1.12-2.51)*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0.85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(0.43-1.67)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1.45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(0.94-2.22)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Severe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Insecurity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2.14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(1.38-3.33)***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1.45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(0.72-2.90)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1.89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(1.18-3.03)**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CRP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&gt;5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4.62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(2.95-7.24)***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0.92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(0.43-1.98)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1.18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(0.74-1.88)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Statistics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Nagelkerke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0.12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AUC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(ROC)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0.69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AUC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Interpretation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Moderate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discriminative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ability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Poor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discriminative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ability;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explains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little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variance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Poor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fair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discriminative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ability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Hosmer-Lemeshow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p-value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0.51</w:t>
            </w:r>
          </w:p>
        </w:tc>
      </w:tr>
    </w:tbl>
    <w:p>
      <w:pPr>
        <w:pStyle w:val="style0"/>
        <w:spacing w:after="200" w:lineRule="auto" w:line="276"/>
        <w:jc w:val="left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Notes: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*p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&lt;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0.05,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**p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&lt;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0.01,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***p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&lt;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0.001.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adjusted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listed.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Reference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category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each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'Normal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Haemoglobin'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(Hb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≥11.0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g/dL).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IDA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Iron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Deficiency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Anaemia;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IRA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Inflammation-Related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Anaemia;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AUC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Area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Curve.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Poor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discriminative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(AUC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0.6-0.7)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explains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variance;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distress-IDA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notably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weak.</w:t>
      </w:r>
    </w:p>
    <w:p>
      <w:pPr>
        <w:pStyle w:val="style0"/>
        <w:rPr/>
      </w:pPr>
    </w:p>
    <w:p>
      <w:pPr>
        <w:pStyle w:val="style0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 S6. Latent Class Analysis Fit Indices and Class Characteristics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58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Fit Index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1-Class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2-Class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3-Class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4-Class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Selected Model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AIC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4215.2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3982.4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3784.1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3768.9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3-Class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BIC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4245.8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4038.7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3866.1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3876.6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3-Class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Adjusted BIC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4224.3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3998.4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3817.0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3818.7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3-Class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Entropy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0.76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0.83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0.81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3-Class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LMR-LRT p-value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0.001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0.012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0.124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3-Class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Class Characteristics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Class 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Class 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Class 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Class Prevalence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28.2%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24.3%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47.5%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Mean Distress Index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28.4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19.2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10.8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Mean CRP (mg/L)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12.8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5.2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4.1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Mean Haemoglobin (g/dL)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9.1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10.3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11.1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Displaced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78.6%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52.4%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31.8%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Severe Food Insecurity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62.3%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28.1%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12.6%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 S7. Sensitivity Analysis Results: Comparison of Effect Estimates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Sensitivity Analysis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β for Distress-Hb Association (95% CI)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% Change from Main Model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Main Analysis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-0.17 (-0.24 to -0.10)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Reference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Exclude CRP &gt;10 mg/L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515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-0.19 (-0.27 to -0.11)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+11.8%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Exclude SAM (WHZ &lt; -3)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558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-0.16 (-0.23 to -0.09)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-5.9%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Alternative Hb cutoff (&lt;11.5 g/dL)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-0.20 (-0.27 to -0.13)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+17.6%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Include Ferritin in model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-0.15 (-0.22 to -0.08)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-11.8%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Multiple Imputation (n=28 missing)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-0.18 (-0.25 to -0.11)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+5.9%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Mixed Effects Model (cluster-adjusted)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-0.16 (-0.24 to -0.08)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-5.9%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Subgroup Analyses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Children &lt;24 months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210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-0.21 (-0.32 to -0.10)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+23.5%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Children ≥24 months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390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-0.15 (-0.23 to -0.07)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-11.8%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</w:tbl>
    <w:p>
      <w:pPr>
        <w:pStyle w:val="style0"/>
        <w:rPr/>
      </w:pPr>
    </w:p>
    <w:p>
      <w:pPr>
        <w:pStyle w:val="style0"/>
        <w:keepNext/>
        <w:keepLines/>
        <w:spacing w:before="200" w:lineRule="auto" w:line="276"/>
        <w:jc w:val="left"/>
        <w:outlineLvl w:val="1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S8.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Stratified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Models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Term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β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(95%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p-value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Interpretation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Displacement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Stronger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association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displaced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children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Severe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Insecurity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-0.20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(-0.35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Stronger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association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food-insecure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households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(-0.05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0.15)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0.320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significant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gender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difference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Age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(&lt;24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vs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≥24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months)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(-0.18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0.06)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0.310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significant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age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CRP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Level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(High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vs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Low)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(-0.18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0.120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Marginal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inflammation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status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Displacement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Severe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Insecurity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(Three-way)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-0.07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0.360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/>
                <w:b/>
                <w:bCs/>
                <w:i w:val="false"/>
                <w:iCs w:val="false"/>
                <w:color w:val="4f81bd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synergistic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three-way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additive,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multiplicative</w:t>
            </w:r>
          </w:p>
        </w:tc>
      </w:tr>
    </w:tbl>
    <w:p>
      <w:pPr>
        <w:pStyle w:val="style0"/>
        <w:spacing w:after="200" w:lineRule="auto" w:line="276"/>
        <w:jc w:val="left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Notes: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adjusted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age,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sex,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log-transformed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CRP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applicable.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Three-way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lower-order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(distress,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displacement,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insecurity,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two-way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interactions).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non-significant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three-way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(p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0.36)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combined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displacement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amplify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distress-haemoglobin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from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separate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additive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effects.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both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vulnerabilities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(displaced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severely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food-insecure)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had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lowest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mean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haemoglobin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(8.9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g/dL)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analyses.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 S9. Missing Data Pattern and Imputation Results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Complete Cases (n)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Missing (n)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Missing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Mechanism*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Imputed Value (Mean)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Age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Sex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Displacement Status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General Distress Index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592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1.3%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MAR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18.4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Haemoglobin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0.3%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MCAR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10.2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CRP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595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0.8%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MAR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8.3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Ferritin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587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2.2%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MAR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61.8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Food Insecurity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0%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-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Total Records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28 (across variables)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4.7%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rPr>
          <w:i/>
        </w:rPr>
        <w:br/>
      </w:r>
      <w:r>
        <w:rPr>
          <w:i/>
        </w:rPr>
        <w:t>Notes: *MAR = Missing at Random, MCAR = Missing Completely at Random. Multiple imputation using chained equations (MICE) with 20 imputations showed minimal impact on effect estimates.</w:t>
      </w:r>
    </w:p>
    <w:p>
      <w:pPr>
        <w:pStyle w:val="style0"/>
        <w:rPr/>
      </w:pPr>
    </w:p>
    <w:p>
      <w:pPr>
        <w:pStyle w:val="style0"/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 S10. Power Analysis and Minimum Detectable Effects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Analysis Type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Power Achieved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α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Minimum Detectable Effect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Notes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Primary Analysis (Distress → Hb)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99%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β = -0.15 g/dL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N=600 provides &gt;90% power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Mediation Analysis (via CRP)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92%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Indirect effect = -0.05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Adequate for medium effects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Subgroup Analysis (Displaced)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85%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β = -0.20 g/dL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Adequate for main subgroups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Interaction Effects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78%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β = -0.25 for interaction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Moderate power for interactions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Logistic Regression (Anaemia)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96%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OR = 1.8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Excellent power for main binary outcome</w:t>
            </w:r>
          </w:p>
        </w:tc>
      </w:tr>
    </w:tbl>
    <w:p>
      <w:pPr>
        <w:pStyle w:val="style0"/>
        <w:rPr/>
      </w:pPr>
      <w:r>
        <w:rPr>
          <w:i/>
        </w:rPr>
        <w:br/>
      </w:r>
      <w:r>
        <w:rPr>
          <w:i/>
        </w:rPr>
        <w:t>Notes: Sample Size Justification: Based on previous studies (r = 0.30–0.40 for distress-inflammation), with α=0.05, β=0.20, and anticipated R²=0.25, N=600 provides &gt;95% power for primary analyses.</w:t>
      </w:r>
    </w:p>
    <w:p>
      <w:pPr>
        <w:pStyle w:val="style0"/>
        <w:rPr/>
      </w:pPr>
    </w:p>
    <w:p>
      <w:pPr>
        <w:pStyle w:val="style0"/>
        <w:keepNext/>
        <w:keepLines/>
        <w:spacing w:before="200" w:lineRule="auto" w:line="276"/>
        <w:jc w:val="left"/>
        <w:outlineLvl w:val="1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S11.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Comparison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Excluded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Participants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8"/>
        <w:gridCol w:w="1728"/>
        <w:gridCol w:w="1728"/>
        <w:gridCol w:w="1728"/>
      </w:tblGrid>
      <w:tr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Characteristic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Included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Participants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(n=600)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Excluded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Participants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(n=85)*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p-value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Standardized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Difference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Demographic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Age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(months),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mean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±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32.4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±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14.1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31.8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±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0.04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Female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sex,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298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(49.7%)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(49.4%)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0.01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Displacement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Status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Internally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displaced,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312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(52.0%)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(56.5%)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Household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Characteristics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Severe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insecurity,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176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(29.3%)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(32.9%)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Household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size,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mean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±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6.2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±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6.4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±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Geographic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Distribution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Al-Dhalea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governorate,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360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(60.0%)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51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(60.0%)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Lahej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governorate,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240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(40.0%)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34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(40.0%)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0.00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Reason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Exclusion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Acute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febrile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illness,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(52.9%)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Recent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iron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supplementation,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(25.9%)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Declined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blood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draw,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(21.2%)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</w:tr>
    </w:tbl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*Note: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Excluded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participants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comprised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85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initially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eligible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excluded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due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to: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acute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febrile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illness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(n=45),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iron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supplementation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weeks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(n=22),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declining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blood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(n=18).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P-values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t-tests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continuous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chi-square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tests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categorical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variables.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Standardized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differences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&lt;0.1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negligible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differences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groups.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keepNext/>
        <w:keepLines/>
        <w:spacing w:before="200" w:lineRule="auto" w:line="276"/>
        <w:jc w:val="left"/>
        <w:outlineLvl w:val="1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S12.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Analyses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Approaches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Analysis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Approach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Primary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Outcome: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Hb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(β,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95%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Secondary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Outcome: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(OR,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95%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Interpretation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Analysis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(Reference)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Linear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(Hb)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-0.17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(-0.24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Reference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Logistic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(Anaemia)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1.45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(1.18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1.78)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Reference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Models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Poisson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(Anaemia)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1.41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(1.16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1.71)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Robust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(Hb)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-0.16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(-0.23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Quantile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(Median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Hb)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Classification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Clinical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cut-off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(PTSD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≥31)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-0.42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(-0.58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-0.26)*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2.12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(1.58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2.84)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Stronger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effect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Tertiles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(vs.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quartiles)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-0.19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(-0.26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1.52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(1.23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1.88)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Continuous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z-score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1.48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(1.21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1.81)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Methods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Structural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Equation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Modeling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(SEM)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Indirect: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-0.11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(-0.15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Similar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Causal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(g-computation)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Indirect: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-0.10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(-0.14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-0.06)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Similar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Bootstrap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(5000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reps)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Indirect: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(-0.16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Identical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Model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Specifications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Including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ferritin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-0.14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(-0.21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1.38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(1.12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1.70)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Slightly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attenuated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Excluding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CRP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outliers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(&gt;15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mg/L)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-0.18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1.50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(1.22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1.84)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Cluster-robust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standard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errors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-0.17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(-0.25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-0.09)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1.45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(1.16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1.81)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Similar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precision</w:t>
            </w:r>
          </w:p>
        </w:tc>
      </w:tr>
    </w:tbl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*Note: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adjusted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age,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sex,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displacement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status,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unless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specified.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β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represents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difference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Hb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(g/dL)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PTSD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(CPSS-5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≥31)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vs.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PTSD.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Odds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Ratio;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CI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Confidence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Interval;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Hb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Haemoglobin.</w:t>
      </w:r>
    </w:p>
    <w:p>
      <w:pPr>
        <w:pStyle w:val="style0"/>
        <w:keepNext/>
        <w:keepLines/>
        <w:spacing w:before="200" w:lineRule="auto" w:line="276"/>
        <w:jc w:val="left"/>
        <w:outlineLvl w:val="1"/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S13.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Comprehensive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Analyses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728"/>
        <w:gridCol w:w="1728"/>
        <w:gridCol w:w="1728"/>
        <w:gridCol w:w="1728"/>
      </w:tblGrid>
      <w:tr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Analysis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Estimate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(95%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p-value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Comparison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ANALYSIS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(Reference)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→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Hb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(β)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-0.17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Reference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→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(OR)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1.45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(1.18-1.78)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Reference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EXCLUSION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CRITERIA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Exclude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CRP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&gt;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mg/L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515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-0.19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(-0.27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(slightly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stronger)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Exclude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SAM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(WHZ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558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(-0.23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Exclude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Severe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(Hb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7.0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g/dL)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588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(-0.23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OUTCOME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DEFINITIONS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Hb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Cutoff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(&lt;11.5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g/dL)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(β)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-0.20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(-0.27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Poisson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1.41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(1.16-1.71)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SPECIFICATIONS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Include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Ferritin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(slightly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attenuated)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Robust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(Hb)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(-0.23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Quantile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Regression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(Median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Hb)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CLASSIFICATIONS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Clinical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Cut-off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(PTSD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≥31)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(β)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-0.42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(-0.58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-0.26)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Stronger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Clinical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Cut-off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(PTSD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≥31)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(OR)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2.12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(1.58-2.84)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Stronger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Tertiles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(vs.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Quartiles)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(β)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-0.19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-0.12)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HANDLING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MISSING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DATA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DESIGN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Complete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Case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Analysis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(fully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adjusted)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572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(-0.23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Identical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Multiple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Imputation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(β)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(sensitivity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only)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-0.18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Mixed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(β)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Cluster-robust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1.45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(1.16-1.81)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ALTERNATIVE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METHODS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Structural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Equation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Modeling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(Indirect)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-0.11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(-0.15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Causal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(Indirect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g-computation)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(-0.14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Consistent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Bootstrap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Mediation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(5000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reps)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-0.12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(-0.16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Identical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main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ADDITIONAL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ROBUSTNESS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ANALYSES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(NEW)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Non-linear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Dose-Response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(RCS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p-value)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non-linearity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0.24,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AIClinear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2142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vs.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AICspline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2145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Linear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model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adequate;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threshold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E-value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Q4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vs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Q1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Anaemia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2.74)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E-value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4.82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Robust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unmeasured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E-value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bound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(OR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1.92)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E-value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3.21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confounding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PAF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(Population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Attributable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Fraction)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32.7%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(95%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CI: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20.5-44.9%)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~1/3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cases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Three-way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Interaction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(Distress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Displaced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×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Severe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Food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Insecurity)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β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=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-0.07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(-0.22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0.08)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0.36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rFonts w:ascii="Calibri" w:cs="宋体" w:eastAsia="ＭＳ ゴシック" w:hAnsi="Calibri" w:hint="default"/>
                <w:b/>
                <w:bCs/>
                <w:i w:val="false"/>
                <w:iCs w:val="false"/>
                <w:color w:val="365f91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synergy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beyond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additive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宋体" w:eastAsia="ＭＳ 明朝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2"/>
                <w:highlight w:val="none"/>
                <w:vertAlign w:val="baseline"/>
                <w:em w:val="none"/>
                <w:lang w:val="en-US" w:eastAsia="en-US"/>
              </w:rPr>
              <w:t>effects</w:t>
            </w:r>
          </w:p>
        </w:tc>
      </w:tr>
    </w:tbl>
    <w:p>
      <w:pPr>
        <w:pStyle w:val="style0"/>
        <w:keepNext/>
        <w:keepLines/>
        <w:spacing w:before="480" w:lineRule="auto" w:line="276"/>
        <w:jc w:val="left"/>
        <w:outlineLvl w:val="0"/>
        <w:rPr/>
      </w:pP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Notes: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β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represents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difference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Hb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(g/dL)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per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distress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unless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specified.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Odds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Ratio;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CI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Confidence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Interval;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Hb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Haemoglobin;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SAM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Severe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Acute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Malnutrition;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WHZ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Weight-for-Height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Z-score;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RCS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Restricted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Cubic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Splines;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AIC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Akaike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Criterion;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PAF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Attributable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Fraction.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E-value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interpretation: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confounder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need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4.82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both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distress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anaemia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explain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away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estimate,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3.21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shift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95%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CI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null.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adjusted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age,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sex,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displacement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status,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unless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宋体" w:eastAsia="ＭＳ 明朝" w:hAnsi="Arial" w:hint="default"/>
          <w:b w:val="false"/>
          <w:bCs w:val="false"/>
          <w:i w:val="false"/>
          <w:iCs w:val="false"/>
          <w:color w:val="auto"/>
          <w:sz w:val="20"/>
          <w:szCs w:val="22"/>
          <w:highlight w:val="none"/>
          <w:vertAlign w:val="baseline"/>
          <w:em w:val="none"/>
          <w:lang w:val="en-US" w:eastAsia="en-US"/>
        </w:rPr>
        <w:t>specified.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p>
      <w:pPr>
        <w:pStyle w:val="style0"/>
        <w:pBdr>
          <w:bottom w:val="single" w:sz="8" w:space="4" w:color="4f81bd"/>
        </w:pBdr>
        <w:spacing w:after="300" w:lineRule="auto" w:line="240"/>
        <w:jc w:val="center"/>
        <w:rPr/>
      </w:pP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S14: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Exploratory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Adjusting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Proxy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Caregiver-Level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 w:val="false"/>
          <w:bCs w:val="false"/>
          <w:i w:val="false"/>
          <w:iCs w:val="false"/>
          <w:color w:val="17365d"/>
          <w:spacing w:val="5"/>
          <w:kern w:val="28"/>
          <w:sz w:val="52"/>
          <w:szCs w:val="52"/>
          <w:highlight w:val="none"/>
          <w:vertAlign w:val="baseline"/>
          <w:em w:val="none"/>
          <w:lang w:val="en-US" w:eastAsia="en-US"/>
        </w:rPr>
        <w:t>Confounding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Notes: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health—a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reporting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bias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confounding—was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hypothetical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robustness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caregiver-level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confounding.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maternal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(extracted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dataset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available;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coded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none,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primary,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secondary,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higher)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crude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proxy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socioeconomic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psychosocial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correlate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both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outcomes.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exploratory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hypothesis-generating;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replace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illustrates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direction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magnitude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bias.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Results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793"/>
        <w:gridCol w:w="1440"/>
        <w:gridCol w:w="1440"/>
        <w:gridCol w:w="902"/>
        <w:gridCol w:w="2076"/>
      </w:tblGrid>
      <w:tr>
        <w:trPr>
          <w:cantSplit w:val="false"/>
          <w:tblHeader w:val="false"/>
          <w:jc w:val="left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Model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β for Distress-Hb Association (95% CI)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% Change from Main Model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p-value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Interpretation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Main Model (Model 3, fully adjusted without caregiver proxy)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-0.17 (-0.24 to -0.10)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Reference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Baseline cross-sectional association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Sensitivity Model (Model 3 + maternal education as a covariate)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587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-0.14 (-0.21 to -0.07)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-17.6%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&lt;0.001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Slight attenuation; association remains statistically significant and clinically meaningful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Sensitivity Model additionally excluding children &lt;36 months (to assess age-related reporting bias)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390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-0.12 (-0.20 to -0.04)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-29.4%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0.004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Cambria" w:cs="宋体" w:eastAsia="ＭＳ 明朝" w:hAnsi="Cambria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Attenuation is more pronounced in older children, suggesting that caregiver reporting bias may be non-differential across age groups</w:t>
            </w:r>
          </w:p>
        </w:tc>
      </w:tr>
    </w:tbl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3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adjustments: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Age,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sex,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displacement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status,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severe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insecurity,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log-transformed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CRP.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findings: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Adjusting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maternal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crude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proxy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caregiver-level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confounders)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slightly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attenuated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distress-haemoglobin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β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-0.17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β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-0.14,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representing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17.6%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reduction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size.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remained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statistically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(p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&lt;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0.001)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clinically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(0.14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g/dL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reduction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distress).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E-value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attenuated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estimate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equivalent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0.14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g/dL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assuming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Hb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~1.4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g/dL)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&gt;3.0,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suggesting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moderately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robust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confounding.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Crucially,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account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specifically.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stronger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both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distress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reporting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hemoglobin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clinical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depression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theoretically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explain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remaining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reiterate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studies.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analysis: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Maternal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imperfect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proxy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health;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two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correlated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interchangeable.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Residual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caregiver-level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trauma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history,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domestic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violence)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possible.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address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reverse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causation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(i.e.,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anemia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influencing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reporting).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sensitivity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5f91"/>
          <w:sz w:val="28"/>
          <w:szCs w:val="28"/>
          <w:highlight w:val="none"/>
          <w:vertAlign w:val="baseline"/>
          <w:em w:val="none"/>
          <w:lang w:val="en-US" w:eastAsia="en-US"/>
        </w:rPr>
        <w:t>analysis:</w:t>
      </w:r>
    </w:p>
    <w:p>
      <w:pPr>
        <w:pStyle w:val="style0"/>
        <w:spacing w:after="200" w:lineRule="auto" w:line="276"/>
        <w:jc w:val="lef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cross-sectional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caregiver-reported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distress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behaviors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childhood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hemoglobin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robust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adjustment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crude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proxy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caregiver-level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confounders.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possibility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residual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confounding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unmeasured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ruled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out.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interpreted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hypothesis-generating,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caregiver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health.</w:t>
      </w:r>
    </w:p>
    <w:p>
      <w:pPr>
        <w:pStyle w:val="style0"/>
        <w:keepNext/>
        <w:keepLines/>
        <w:spacing w:before="480" w:lineRule="auto" w:line="276"/>
        <w:jc w:val="left"/>
        <w:outlineLvl w:val="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Times New Roman" w:hAnsi="Times New Roman"/>
      <w:sz w:val="20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438f089-cbc2-40da-810c-223e48066a4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86a3fa2-eeff-4546-b93e-e57e35837e43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a386937-de44-43af-afd5-16c5238dc41f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2d2e3e6-895e-42c8-b503-37853cd9e3a3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d5d5c0c6-686d-4f3d-bd72-68ab9258298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d3e05123-3f69-44cd-9de3-833011806157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fbed0a3-d93a-4710-9431-88703ad17288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901e4b6b-1296-469c-b522-09279cbac3a8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b2ae464c-ff4c-4acb-b1e7-d7f0f0fa95e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ee00fa8-3e7d-42e3-aa98-2298e044310f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4113989a-7914-4d87-bdf9-e0f6554ec3c9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7217505f-81ce-4ef2-b3c1-50f608fcf474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14d4779f-0be1-4137-b1cb-513f577c80a2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9e8db209-0627-41c9-9d4e-e964e3859bd0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2735</Words>
  <Pages>1</Pages>
  <Characters>15665</Characters>
  <Application>WPS Office</Application>
  <DocSecurity>0</DocSecurity>
  <Paragraphs>1274</Paragraphs>
  <ScaleCrop>false</ScaleCrop>
  <LinksUpToDate>false</LinksUpToDate>
  <CharactersWithSpaces>17559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٢٠٢٦-٠٥-١٨T١٧:٤٥:١١Z</dcterms:created>
  <dc:creator>python-docx</dc:creator>
  <dc:description>generated by python-docx</dc:description>
  <lastModifiedBy>SM-G998U</lastModifiedBy>
  <dcterms:modified xsi:type="dcterms:W3CDTF">٢٠٢٦-٠٥-١٨T١٧:٤٥:١١Z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fff535e966c44800a3bd02d1a59c44eb</vt:lpwstr>
  </property>
</Properties>
</file>