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579B7" w14:textId="77777777" w:rsidR="00EE29DE" w:rsidRPr="000330F7" w:rsidRDefault="00EE29DE" w:rsidP="00EE29DE">
      <w:pPr>
        <w:pBdr>
          <w:top w:val="single" w:sz="8" w:space="8" w:color="2E5DA6"/>
        </w:pBdr>
        <w:spacing w:before="200" w:after="160"/>
      </w:pPr>
      <w:r>
        <w:rPr>
          <w:b/>
          <w:bCs/>
          <w:sz w:val="30"/>
          <w:szCs w:val="30"/>
        </w:rPr>
        <w:t>APPENDIX A — GOVREG INDEX: CRITERIA, RUBRIC, AND COUNTRY EVIDENCE</w:t>
      </w:r>
    </w:p>
    <w:p w14:paraId="4ADB6AF9" w14:textId="77777777" w:rsidR="00EE29DE" w:rsidRDefault="00EE29DE" w:rsidP="00EE29DE">
      <w:pPr>
        <w:spacing w:after="120"/>
        <w:jc w:val="both"/>
      </w:pPr>
      <w:r>
        <w:t>The Governance-Regulatory Index (GOVREG) is scored following Eq. (4) on three criteria derived from UNCTAD Sustainable Stock Exchanges Initiative annual progress reports [9] and supplementary primary exchange and regulatory documentation. Each criterion uses a continuous 0–1 scale with anchors defined in Table A2. Intermediate scores represent partial implementation: 0.3 for nascent voluntary frameworks; 0.5 for comply-or-explain approaches; 0.7–0.8 for substantially mandatory requirements with opt-out provisions; 1.0 for unconditionally mandatory requirements. Country scores are computed for 2015 and 2023 anchor years and linearly interpolated annually.</w:t>
      </w:r>
    </w:p>
    <w:p w14:paraId="5EA3B848" w14:textId="77777777" w:rsidR="00EE29DE" w:rsidRDefault="00EE29DE" w:rsidP="00EE29DE">
      <w:pPr>
        <w:spacing w:after="120"/>
        <w:jc w:val="both"/>
      </w:pPr>
    </w:p>
    <w:p w14:paraId="49E19C97" w14:textId="77777777" w:rsidR="00EE29DE" w:rsidRPr="000330F7" w:rsidRDefault="00EE29DE" w:rsidP="00EE29DE">
      <w:pPr>
        <w:spacing w:before="180" w:after="60"/>
      </w:pPr>
      <w:r>
        <w:rPr>
          <w:b/>
          <w:bCs/>
        </w:rPr>
        <w:t>Table A</w:t>
      </w:r>
      <w:proofErr w:type="gramStart"/>
      <w:r>
        <w:rPr>
          <w:b/>
          <w:bCs/>
        </w:rPr>
        <w:t xml:space="preserve">1  </w:t>
      </w:r>
      <w:r>
        <w:t>GOVREG</w:t>
      </w:r>
      <w:proofErr w:type="gramEnd"/>
      <w:r>
        <w:t xml:space="preserve"> criterion scores by country: 2015 and 2023 anchor years</w:t>
      </w:r>
    </w:p>
    <w:p w14:paraId="6F411F0D" w14:textId="77777777" w:rsidR="00EE29DE" w:rsidRPr="000330F7" w:rsidRDefault="00EE29DE" w:rsidP="00EE29DE">
      <w:pPr>
        <w:spacing w:after="60"/>
        <w:jc w:val="both"/>
      </w:pPr>
      <w:r>
        <w:t xml:space="preserve">C1 = mandatory ESG disclosure as listing </w:t>
      </w:r>
      <w:proofErr w:type="gramStart"/>
      <w:r>
        <w:t>condition</w:t>
      </w:r>
      <w:proofErr w:type="gramEnd"/>
      <w:r>
        <w:t xml:space="preserve">; C2 = </w:t>
      </w:r>
      <w:proofErr w:type="spellStart"/>
      <w:r>
        <w:t>standardised</w:t>
      </w:r>
      <w:proofErr w:type="spellEnd"/>
      <w:r>
        <w:t xml:space="preserve"> reporting framework; C3 = external assurance or benchmark alignment.</w:t>
      </w:r>
    </w:p>
    <w:tbl>
      <w:tblPr>
        <w:tblStyle w:val="PlainTable2"/>
        <w:tblW w:w="9360" w:type="dxa"/>
        <w:tblLook w:val="06A0" w:firstRow="1" w:lastRow="0" w:firstColumn="1" w:lastColumn="0" w:noHBand="1" w:noVBand="1"/>
      </w:tblPr>
      <w:tblGrid>
        <w:gridCol w:w="1700"/>
        <w:gridCol w:w="820"/>
        <w:gridCol w:w="820"/>
        <w:gridCol w:w="820"/>
        <w:gridCol w:w="820"/>
        <w:gridCol w:w="820"/>
        <w:gridCol w:w="820"/>
        <w:gridCol w:w="820"/>
        <w:gridCol w:w="820"/>
        <w:gridCol w:w="1100"/>
      </w:tblGrid>
      <w:tr w:rsidR="00EE29DE" w:rsidRPr="000330F7" w14:paraId="2AD59AB8" w14:textId="77777777" w:rsidTr="002B22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30511987" w14:textId="77777777" w:rsidR="00EE29DE" w:rsidRPr="000330F7" w:rsidRDefault="00EE29DE" w:rsidP="002B22C6">
            <w:pPr>
              <w:jc w:val="center"/>
            </w:pPr>
            <w:r>
              <w:rPr>
                <w:sz w:val="18"/>
                <w:szCs w:val="18"/>
              </w:rPr>
              <w:t>Country (Exchange)</w:t>
            </w:r>
          </w:p>
        </w:tc>
        <w:tc>
          <w:tcPr>
            <w:tcW w:w="520" w:type="dxa"/>
          </w:tcPr>
          <w:p w14:paraId="324D27C9" w14:textId="77777777" w:rsidR="00EE29DE" w:rsidRPr="000330F7" w:rsidRDefault="00EE29DE" w:rsidP="002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C1 2015</w:t>
            </w:r>
          </w:p>
        </w:tc>
        <w:tc>
          <w:tcPr>
            <w:tcW w:w="560" w:type="dxa"/>
          </w:tcPr>
          <w:p w14:paraId="54FC1865" w14:textId="77777777" w:rsidR="00EE29DE" w:rsidRPr="000330F7" w:rsidRDefault="00EE29DE" w:rsidP="002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C2 2015</w:t>
            </w:r>
          </w:p>
        </w:tc>
        <w:tc>
          <w:tcPr>
            <w:tcW w:w="560" w:type="dxa"/>
          </w:tcPr>
          <w:p w14:paraId="6640B461" w14:textId="77777777" w:rsidR="00EE29DE" w:rsidRPr="000330F7" w:rsidRDefault="00EE29DE" w:rsidP="002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C3 2015</w:t>
            </w:r>
          </w:p>
        </w:tc>
        <w:tc>
          <w:tcPr>
            <w:tcW w:w="560" w:type="dxa"/>
          </w:tcPr>
          <w:p w14:paraId="5B54D756" w14:textId="77777777" w:rsidR="00EE29DE" w:rsidRPr="000330F7" w:rsidRDefault="00EE29DE" w:rsidP="002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Total 2015</w:t>
            </w:r>
          </w:p>
        </w:tc>
        <w:tc>
          <w:tcPr>
            <w:tcW w:w="560" w:type="dxa"/>
          </w:tcPr>
          <w:p w14:paraId="60D5DFDF" w14:textId="77777777" w:rsidR="00EE29DE" w:rsidRPr="000330F7" w:rsidRDefault="00EE29DE" w:rsidP="002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C1 2023</w:t>
            </w:r>
          </w:p>
        </w:tc>
        <w:tc>
          <w:tcPr>
            <w:tcW w:w="560" w:type="dxa"/>
          </w:tcPr>
          <w:p w14:paraId="07FA61DB" w14:textId="77777777" w:rsidR="00EE29DE" w:rsidRPr="000330F7" w:rsidRDefault="00EE29DE" w:rsidP="002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C2 2023</w:t>
            </w:r>
          </w:p>
        </w:tc>
        <w:tc>
          <w:tcPr>
            <w:tcW w:w="560" w:type="dxa"/>
          </w:tcPr>
          <w:p w14:paraId="2B88BAFE" w14:textId="77777777" w:rsidR="00EE29DE" w:rsidRPr="000330F7" w:rsidRDefault="00EE29DE" w:rsidP="002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C3 2023</w:t>
            </w:r>
          </w:p>
        </w:tc>
        <w:tc>
          <w:tcPr>
            <w:tcW w:w="560" w:type="dxa"/>
          </w:tcPr>
          <w:p w14:paraId="377A7119" w14:textId="77777777" w:rsidR="00EE29DE" w:rsidRPr="000330F7" w:rsidRDefault="00EE29DE" w:rsidP="002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Total 2023</w:t>
            </w:r>
          </w:p>
        </w:tc>
        <w:tc>
          <w:tcPr>
            <w:tcW w:w="560" w:type="dxa"/>
          </w:tcPr>
          <w:p w14:paraId="6F51A937" w14:textId="77777777" w:rsidR="00EE29DE" w:rsidRPr="000330F7" w:rsidRDefault="00EE29DE" w:rsidP="002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Change</w:t>
            </w:r>
          </w:p>
        </w:tc>
      </w:tr>
      <w:tr w:rsidR="00EE29DE" w:rsidRPr="000330F7" w14:paraId="328C834E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5F9D4282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South Africa (JSE)</w:t>
            </w:r>
          </w:p>
        </w:tc>
        <w:tc>
          <w:tcPr>
            <w:tcW w:w="520" w:type="dxa"/>
          </w:tcPr>
          <w:p w14:paraId="2F0D61E0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0.8</w:t>
            </w:r>
          </w:p>
        </w:tc>
        <w:tc>
          <w:tcPr>
            <w:tcW w:w="560" w:type="dxa"/>
          </w:tcPr>
          <w:p w14:paraId="2F70906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0.6</w:t>
            </w:r>
          </w:p>
        </w:tc>
        <w:tc>
          <w:tcPr>
            <w:tcW w:w="560" w:type="dxa"/>
          </w:tcPr>
          <w:p w14:paraId="0C6000C8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0.4</w:t>
            </w:r>
          </w:p>
        </w:tc>
        <w:tc>
          <w:tcPr>
            <w:tcW w:w="560" w:type="dxa"/>
          </w:tcPr>
          <w:p w14:paraId="5A0AB1D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560" w:type="dxa"/>
          </w:tcPr>
          <w:p w14:paraId="6754DC31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560" w:type="dxa"/>
          </w:tcPr>
          <w:p w14:paraId="3D903D4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560" w:type="dxa"/>
          </w:tcPr>
          <w:p w14:paraId="618AF7AC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0.7</w:t>
            </w:r>
          </w:p>
        </w:tc>
        <w:tc>
          <w:tcPr>
            <w:tcW w:w="560" w:type="dxa"/>
          </w:tcPr>
          <w:p w14:paraId="2B4C7480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2.7</w:t>
            </w:r>
          </w:p>
        </w:tc>
        <w:tc>
          <w:tcPr>
            <w:tcW w:w="560" w:type="dxa"/>
          </w:tcPr>
          <w:p w14:paraId="2F1E255F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+0.9</w:t>
            </w:r>
          </w:p>
        </w:tc>
      </w:tr>
      <w:tr w:rsidR="00EE29DE" w:rsidRPr="000330F7" w14:paraId="5BD8A198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5396205A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Morocco (CSE)</w:t>
            </w:r>
          </w:p>
        </w:tc>
        <w:tc>
          <w:tcPr>
            <w:tcW w:w="520" w:type="dxa"/>
          </w:tcPr>
          <w:p w14:paraId="4163EE71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31BF4569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60" w:type="dxa"/>
          </w:tcPr>
          <w:p w14:paraId="11D69740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70753E60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560" w:type="dxa"/>
          </w:tcPr>
          <w:p w14:paraId="5CE6D7B1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560" w:type="dxa"/>
          </w:tcPr>
          <w:p w14:paraId="1EED9405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0.8</w:t>
            </w:r>
          </w:p>
        </w:tc>
        <w:tc>
          <w:tcPr>
            <w:tcW w:w="560" w:type="dxa"/>
          </w:tcPr>
          <w:p w14:paraId="1B543AD1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0.4</w:t>
            </w:r>
          </w:p>
        </w:tc>
        <w:tc>
          <w:tcPr>
            <w:tcW w:w="560" w:type="dxa"/>
          </w:tcPr>
          <w:p w14:paraId="096123D8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2.2</w:t>
            </w:r>
          </w:p>
        </w:tc>
        <w:tc>
          <w:tcPr>
            <w:tcW w:w="560" w:type="dxa"/>
          </w:tcPr>
          <w:p w14:paraId="6EA8C69F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+1.2</w:t>
            </w:r>
          </w:p>
        </w:tc>
      </w:tr>
      <w:tr w:rsidR="00EE29DE" w:rsidRPr="000330F7" w14:paraId="5AD16549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20BC2A59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Kenya (NSE)</w:t>
            </w:r>
          </w:p>
        </w:tc>
        <w:tc>
          <w:tcPr>
            <w:tcW w:w="520" w:type="dxa"/>
          </w:tcPr>
          <w:p w14:paraId="6DB161E9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49060FB8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60" w:type="dxa"/>
          </w:tcPr>
          <w:p w14:paraId="0895EB3A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0.4</w:t>
            </w:r>
          </w:p>
        </w:tc>
        <w:tc>
          <w:tcPr>
            <w:tcW w:w="560" w:type="dxa"/>
          </w:tcPr>
          <w:p w14:paraId="7A6DBA54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560" w:type="dxa"/>
          </w:tcPr>
          <w:p w14:paraId="5E921370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560" w:type="dxa"/>
          </w:tcPr>
          <w:p w14:paraId="25009152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0.7</w:t>
            </w:r>
          </w:p>
        </w:tc>
        <w:tc>
          <w:tcPr>
            <w:tcW w:w="560" w:type="dxa"/>
          </w:tcPr>
          <w:p w14:paraId="21D3C444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541D377F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560" w:type="dxa"/>
          </w:tcPr>
          <w:p w14:paraId="7FE6F852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+0.8</w:t>
            </w:r>
          </w:p>
        </w:tc>
      </w:tr>
      <w:tr w:rsidR="00EE29DE" w:rsidRPr="000330F7" w14:paraId="795B041E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2E279955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Mauritius (SEM)</w:t>
            </w:r>
          </w:p>
        </w:tc>
        <w:tc>
          <w:tcPr>
            <w:tcW w:w="520" w:type="dxa"/>
          </w:tcPr>
          <w:p w14:paraId="4032165D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5C90C85F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0.4</w:t>
            </w:r>
          </w:p>
        </w:tc>
        <w:tc>
          <w:tcPr>
            <w:tcW w:w="560" w:type="dxa"/>
          </w:tcPr>
          <w:p w14:paraId="3963D581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46028C68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560" w:type="dxa"/>
          </w:tcPr>
          <w:p w14:paraId="6AD143C0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0.8</w:t>
            </w:r>
          </w:p>
        </w:tc>
        <w:tc>
          <w:tcPr>
            <w:tcW w:w="560" w:type="dxa"/>
          </w:tcPr>
          <w:p w14:paraId="79211202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0.8</w:t>
            </w:r>
          </w:p>
        </w:tc>
        <w:tc>
          <w:tcPr>
            <w:tcW w:w="560" w:type="dxa"/>
          </w:tcPr>
          <w:p w14:paraId="04BCE146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0.4</w:t>
            </w:r>
          </w:p>
        </w:tc>
        <w:tc>
          <w:tcPr>
            <w:tcW w:w="560" w:type="dxa"/>
          </w:tcPr>
          <w:p w14:paraId="5D1AE85C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560" w:type="dxa"/>
          </w:tcPr>
          <w:p w14:paraId="6C50F885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+1.0</w:t>
            </w:r>
          </w:p>
        </w:tc>
      </w:tr>
      <w:tr w:rsidR="00EE29DE" w:rsidRPr="000330F7" w14:paraId="2A27ABD0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33B9F234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Egypt (EGX)</w:t>
            </w:r>
          </w:p>
        </w:tc>
        <w:tc>
          <w:tcPr>
            <w:tcW w:w="520" w:type="dxa"/>
          </w:tcPr>
          <w:p w14:paraId="7F8D7FBE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726A8778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7BDBF2B6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3FFB3484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0.8</w:t>
            </w:r>
          </w:p>
        </w:tc>
        <w:tc>
          <w:tcPr>
            <w:tcW w:w="560" w:type="dxa"/>
          </w:tcPr>
          <w:p w14:paraId="231A844C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0.8</w:t>
            </w:r>
          </w:p>
        </w:tc>
        <w:tc>
          <w:tcPr>
            <w:tcW w:w="560" w:type="dxa"/>
          </w:tcPr>
          <w:p w14:paraId="4B521101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0.7</w:t>
            </w:r>
          </w:p>
        </w:tc>
        <w:tc>
          <w:tcPr>
            <w:tcW w:w="560" w:type="dxa"/>
          </w:tcPr>
          <w:p w14:paraId="2663327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46932C82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560" w:type="dxa"/>
          </w:tcPr>
          <w:p w14:paraId="171F630D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+1.0</w:t>
            </w:r>
          </w:p>
        </w:tc>
      </w:tr>
      <w:tr w:rsidR="00EE29DE" w:rsidRPr="000330F7" w14:paraId="2D8B13FA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4EF705FB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Botswana (BSE)</w:t>
            </w:r>
          </w:p>
        </w:tc>
        <w:tc>
          <w:tcPr>
            <w:tcW w:w="520" w:type="dxa"/>
          </w:tcPr>
          <w:p w14:paraId="75AD4998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13ED3D24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0F4F375E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6D0BC7D8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0.8</w:t>
            </w:r>
          </w:p>
        </w:tc>
        <w:tc>
          <w:tcPr>
            <w:tcW w:w="560" w:type="dxa"/>
          </w:tcPr>
          <w:p w14:paraId="77FE9A3C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0.7</w:t>
            </w:r>
          </w:p>
        </w:tc>
        <w:tc>
          <w:tcPr>
            <w:tcW w:w="560" w:type="dxa"/>
          </w:tcPr>
          <w:p w14:paraId="7D6FD7DE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0.6</w:t>
            </w:r>
          </w:p>
        </w:tc>
        <w:tc>
          <w:tcPr>
            <w:tcW w:w="560" w:type="dxa"/>
          </w:tcPr>
          <w:p w14:paraId="46B96B64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5259AC06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560" w:type="dxa"/>
          </w:tcPr>
          <w:p w14:paraId="55295412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+0.8</w:t>
            </w:r>
          </w:p>
        </w:tc>
      </w:tr>
      <w:tr w:rsidR="00EE29DE" w:rsidRPr="000330F7" w14:paraId="32AFBB2C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4B8A24B4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Nigeria (NGX)</w:t>
            </w:r>
          </w:p>
        </w:tc>
        <w:tc>
          <w:tcPr>
            <w:tcW w:w="520" w:type="dxa"/>
          </w:tcPr>
          <w:p w14:paraId="0DAEE0CA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08F25F3B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553C169A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7D3BE650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0.8</w:t>
            </w:r>
          </w:p>
        </w:tc>
        <w:tc>
          <w:tcPr>
            <w:tcW w:w="560" w:type="dxa"/>
          </w:tcPr>
          <w:p w14:paraId="7DFF7921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0.6</w:t>
            </w:r>
          </w:p>
        </w:tc>
        <w:tc>
          <w:tcPr>
            <w:tcW w:w="560" w:type="dxa"/>
          </w:tcPr>
          <w:p w14:paraId="4CD6E0BF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60" w:type="dxa"/>
          </w:tcPr>
          <w:p w14:paraId="6A78DFAB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0.4</w:t>
            </w:r>
          </w:p>
        </w:tc>
        <w:tc>
          <w:tcPr>
            <w:tcW w:w="560" w:type="dxa"/>
          </w:tcPr>
          <w:p w14:paraId="3A298C9F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560" w:type="dxa"/>
          </w:tcPr>
          <w:p w14:paraId="67048002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+0.7</w:t>
            </w:r>
          </w:p>
        </w:tc>
      </w:tr>
      <w:tr w:rsidR="00EE29DE" w:rsidRPr="000330F7" w14:paraId="030CF678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1AAC56C9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Namibia (NSX)</w:t>
            </w:r>
          </w:p>
        </w:tc>
        <w:tc>
          <w:tcPr>
            <w:tcW w:w="520" w:type="dxa"/>
          </w:tcPr>
          <w:p w14:paraId="608A21A7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2E39EC32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7F26FC8C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15B38484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0.7</w:t>
            </w:r>
          </w:p>
        </w:tc>
        <w:tc>
          <w:tcPr>
            <w:tcW w:w="560" w:type="dxa"/>
          </w:tcPr>
          <w:p w14:paraId="22EF86F5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0.6</w:t>
            </w:r>
          </w:p>
        </w:tc>
        <w:tc>
          <w:tcPr>
            <w:tcW w:w="560" w:type="dxa"/>
          </w:tcPr>
          <w:p w14:paraId="5A193806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60" w:type="dxa"/>
          </w:tcPr>
          <w:p w14:paraId="148721EA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1F2CB86B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560" w:type="dxa"/>
          </w:tcPr>
          <w:p w14:paraId="11ABB35F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+0.7</w:t>
            </w:r>
          </w:p>
        </w:tc>
      </w:tr>
      <w:tr w:rsidR="00EE29DE" w:rsidRPr="000330F7" w14:paraId="5DEBCF21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2357FA7D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Tunisia (BVMT)</w:t>
            </w:r>
          </w:p>
        </w:tc>
        <w:tc>
          <w:tcPr>
            <w:tcW w:w="520" w:type="dxa"/>
          </w:tcPr>
          <w:p w14:paraId="01315D4A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5DD49C20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407652F7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16599CC8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0.6</w:t>
            </w:r>
          </w:p>
        </w:tc>
        <w:tc>
          <w:tcPr>
            <w:tcW w:w="560" w:type="dxa"/>
          </w:tcPr>
          <w:p w14:paraId="06E07056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60" w:type="dxa"/>
          </w:tcPr>
          <w:p w14:paraId="6B425840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60" w:type="dxa"/>
          </w:tcPr>
          <w:p w14:paraId="6B407440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22B8B5C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560" w:type="dxa"/>
          </w:tcPr>
          <w:p w14:paraId="2321ACB8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+0.7</w:t>
            </w:r>
          </w:p>
        </w:tc>
      </w:tr>
      <w:tr w:rsidR="00EE29DE" w:rsidRPr="000330F7" w14:paraId="26D8F075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3A761F59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Tanzania (DSE)</w:t>
            </w:r>
          </w:p>
        </w:tc>
        <w:tc>
          <w:tcPr>
            <w:tcW w:w="520" w:type="dxa"/>
          </w:tcPr>
          <w:p w14:paraId="609D648F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1127A9E1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39ACCDBE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355DC3EC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60" w:type="dxa"/>
          </w:tcPr>
          <w:p w14:paraId="6931FCAA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0.4</w:t>
            </w:r>
          </w:p>
        </w:tc>
        <w:tc>
          <w:tcPr>
            <w:tcW w:w="560" w:type="dxa"/>
          </w:tcPr>
          <w:p w14:paraId="3DB6EDFC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60" w:type="dxa"/>
          </w:tcPr>
          <w:p w14:paraId="2DD4A96D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52747C02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560" w:type="dxa"/>
          </w:tcPr>
          <w:p w14:paraId="59C64885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+0.7</w:t>
            </w:r>
          </w:p>
        </w:tc>
      </w:tr>
      <w:tr w:rsidR="00EE29DE" w:rsidRPr="000330F7" w14:paraId="1F492C33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6B8D7FAF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Zimbabwe (ZSE)</w:t>
            </w:r>
          </w:p>
        </w:tc>
        <w:tc>
          <w:tcPr>
            <w:tcW w:w="520" w:type="dxa"/>
          </w:tcPr>
          <w:p w14:paraId="2E684BD8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72326D44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1396B4B4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179F1F8E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0.6</w:t>
            </w:r>
          </w:p>
        </w:tc>
        <w:tc>
          <w:tcPr>
            <w:tcW w:w="560" w:type="dxa"/>
          </w:tcPr>
          <w:p w14:paraId="4E8A4CF9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2AB7C3C0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60" w:type="dxa"/>
          </w:tcPr>
          <w:p w14:paraId="66DD67AD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56DF4A4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560" w:type="dxa"/>
          </w:tcPr>
          <w:p w14:paraId="4F30D431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+0.5</w:t>
            </w:r>
          </w:p>
        </w:tc>
      </w:tr>
      <w:tr w:rsidR="00EE29DE" w:rsidRPr="000330F7" w14:paraId="4ABFBA3B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5531768B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Rwanda (RSE)</w:t>
            </w:r>
          </w:p>
        </w:tc>
        <w:tc>
          <w:tcPr>
            <w:tcW w:w="520" w:type="dxa"/>
          </w:tcPr>
          <w:p w14:paraId="659DA06A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6B1FEE41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43041518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0EAA1FB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0.4</w:t>
            </w:r>
          </w:p>
        </w:tc>
        <w:tc>
          <w:tcPr>
            <w:tcW w:w="560" w:type="dxa"/>
          </w:tcPr>
          <w:p w14:paraId="2F8ED1AC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150E7D71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60" w:type="dxa"/>
          </w:tcPr>
          <w:p w14:paraId="67EF163D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5A351938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560" w:type="dxa"/>
          </w:tcPr>
          <w:p w14:paraId="42156B3C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+0.6</w:t>
            </w:r>
          </w:p>
        </w:tc>
      </w:tr>
      <w:tr w:rsidR="00EE29DE" w:rsidRPr="000330F7" w14:paraId="7CA2BE51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385856AE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Ghana (GSE)</w:t>
            </w:r>
          </w:p>
        </w:tc>
        <w:tc>
          <w:tcPr>
            <w:tcW w:w="520" w:type="dxa"/>
          </w:tcPr>
          <w:p w14:paraId="3002249C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560" w:type="dxa"/>
          </w:tcPr>
          <w:p w14:paraId="5D432E84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755C607B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73EE496A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60" w:type="dxa"/>
          </w:tcPr>
          <w:p w14:paraId="178355BB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247CA1E7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60" w:type="dxa"/>
          </w:tcPr>
          <w:p w14:paraId="5C5BF2E2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4E81AB62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560" w:type="dxa"/>
          </w:tcPr>
          <w:p w14:paraId="5F989BED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+0.5</w:t>
            </w:r>
          </w:p>
        </w:tc>
      </w:tr>
      <w:tr w:rsidR="00EE29DE" w:rsidRPr="000330F7" w14:paraId="50874671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0A6C26DC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Zambia (</w:t>
            </w:r>
            <w:proofErr w:type="spellStart"/>
            <w:r>
              <w:rPr>
                <w:b w:val="0"/>
                <w:bCs w:val="0"/>
                <w:sz w:val="18"/>
                <w:szCs w:val="18"/>
              </w:rPr>
              <w:t>LuSE</w:t>
            </w:r>
            <w:proofErr w:type="spellEnd"/>
            <w:r>
              <w:rPr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520" w:type="dxa"/>
          </w:tcPr>
          <w:p w14:paraId="721B7C18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23748B1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4908102C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556151A2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0.4</w:t>
            </w:r>
          </w:p>
        </w:tc>
        <w:tc>
          <w:tcPr>
            <w:tcW w:w="560" w:type="dxa"/>
          </w:tcPr>
          <w:p w14:paraId="1185920A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4C404979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0.4</w:t>
            </w:r>
          </w:p>
        </w:tc>
        <w:tc>
          <w:tcPr>
            <w:tcW w:w="560" w:type="dxa"/>
          </w:tcPr>
          <w:p w14:paraId="594F7781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58A873D1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0.9</w:t>
            </w:r>
          </w:p>
        </w:tc>
        <w:tc>
          <w:tcPr>
            <w:tcW w:w="560" w:type="dxa"/>
          </w:tcPr>
          <w:p w14:paraId="516FFE9A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+0.5</w:t>
            </w:r>
          </w:p>
        </w:tc>
      </w:tr>
      <w:tr w:rsidR="00EE29DE" w:rsidRPr="000330F7" w14:paraId="1D0510FB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70A6377D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Senegal (BRVM)</w:t>
            </w:r>
          </w:p>
        </w:tc>
        <w:tc>
          <w:tcPr>
            <w:tcW w:w="520" w:type="dxa"/>
          </w:tcPr>
          <w:p w14:paraId="33AB9977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592B492A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6CA2AF6A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3830699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344EEDD1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5306345B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0.4</w:t>
            </w:r>
          </w:p>
        </w:tc>
        <w:tc>
          <w:tcPr>
            <w:tcW w:w="560" w:type="dxa"/>
          </w:tcPr>
          <w:p w14:paraId="3013613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7284A8B5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0.8</w:t>
            </w:r>
          </w:p>
        </w:tc>
        <w:tc>
          <w:tcPr>
            <w:tcW w:w="560" w:type="dxa"/>
          </w:tcPr>
          <w:p w14:paraId="66491705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+0.5</w:t>
            </w:r>
          </w:p>
        </w:tc>
      </w:tr>
      <w:tr w:rsidR="00EE29DE" w:rsidRPr="000330F7" w14:paraId="02281369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666931D1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Côte d'Ivoire (BRVM)</w:t>
            </w:r>
          </w:p>
        </w:tc>
        <w:tc>
          <w:tcPr>
            <w:tcW w:w="520" w:type="dxa"/>
          </w:tcPr>
          <w:p w14:paraId="6CA9077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2B8FAF87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424DA57C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37D25EEA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1C8FFAD2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5A960C86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0.4</w:t>
            </w:r>
          </w:p>
        </w:tc>
        <w:tc>
          <w:tcPr>
            <w:tcW w:w="560" w:type="dxa"/>
          </w:tcPr>
          <w:p w14:paraId="496B6066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375DFC3A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0.8</w:t>
            </w:r>
          </w:p>
        </w:tc>
        <w:tc>
          <w:tcPr>
            <w:tcW w:w="560" w:type="dxa"/>
          </w:tcPr>
          <w:p w14:paraId="2BA20860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+0.5</w:t>
            </w:r>
          </w:p>
        </w:tc>
      </w:tr>
      <w:tr w:rsidR="00EE29DE" w:rsidRPr="000330F7" w14:paraId="24737A30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567D5007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Uganda (USE)</w:t>
            </w:r>
          </w:p>
        </w:tc>
        <w:tc>
          <w:tcPr>
            <w:tcW w:w="520" w:type="dxa"/>
          </w:tcPr>
          <w:p w14:paraId="2073EED2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1A9DA357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2C900B29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2D08F378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4B7118B0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4CCCE676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560" w:type="dxa"/>
          </w:tcPr>
          <w:p w14:paraId="6BB2247E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2C2ED7A2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0.7</w:t>
            </w:r>
          </w:p>
        </w:tc>
        <w:tc>
          <w:tcPr>
            <w:tcW w:w="560" w:type="dxa"/>
          </w:tcPr>
          <w:p w14:paraId="1C131E06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+0.4</w:t>
            </w:r>
          </w:p>
        </w:tc>
      </w:tr>
      <w:tr w:rsidR="00EE29DE" w:rsidRPr="000330F7" w14:paraId="4517D5A1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7D234B24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Ethiopia (ESX)</w:t>
            </w:r>
          </w:p>
        </w:tc>
        <w:tc>
          <w:tcPr>
            <w:tcW w:w="520" w:type="dxa"/>
          </w:tcPr>
          <w:p w14:paraId="4E069DC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6EDF1B14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560" w:type="dxa"/>
          </w:tcPr>
          <w:p w14:paraId="001EB4EC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350F6F84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2C35F41F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2CE310F8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1E0ECD6B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38EB34C0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60" w:type="dxa"/>
          </w:tcPr>
          <w:p w14:paraId="32536A0A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+0.3</w:t>
            </w:r>
          </w:p>
        </w:tc>
      </w:tr>
      <w:tr w:rsidR="00EE29DE" w:rsidRPr="000330F7" w14:paraId="481FB018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3E6B4CB7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Mozambique (BVM)</w:t>
            </w:r>
          </w:p>
        </w:tc>
        <w:tc>
          <w:tcPr>
            <w:tcW w:w="520" w:type="dxa"/>
          </w:tcPr>
          <w:p w14:paraId="356AF068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62959D25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560" w:type="dxa"/>
          </w:tcPr>
          <w:p w14:paraId="20BA8CB4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2FB49D5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3F043B04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2058D555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0AFCDF4B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220F09AE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60" w:type="dxa"/>
          </w:tcPr>
          <w:p w14:paraId="35F30BFD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+0.3</w:t>
            </w:r>
          </w:p>
        </w:tc>
      </w:tr>
      <w:tr w:rsidR="00EE29DE" w:rsidRPr="000330F7" w14:paraId="6524407E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02B351A1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Malawi (MSE)</w:t>
            </w:r>
          </w:p>
        </w:tc>
        <w:tc>
          <w:tcPr>
            <w:tcW w:w="520" w:type="dxa"/>
          </w:tcPr>
          <w:p w14:paraId="344F36DA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5DF806DD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560" w:type="dxa"/>
          </w:tcPr>
          <w:p w14:paraId="0F2C299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2C43A559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3A2B22F8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23E9638E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0" w:type="dxa"/>
          </w:tcPr>
          <w:p w14:paraId="4B9D01CC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0" w:type="dxa"/>
          </w:tcPr>
          <w:p w14:paraId="615AC65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0.4</w:t>
            </w:r>
          </w:p>
        </w:tc>
        <w:tc>
          <w:tcPr>
            <w:tcW w:w="560" w:type="dxa"/>
          </w:tcPr>
          <w:p w14:paraId="72774879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+0.2</w:t>
            </w:r>
          </w:p>
        </w:tc>
      </w:tr>
    </w:tbl>
    <w:p w14:paraId="3ACB0966" w14:textId="77777777" w:rsidR="00EE29DE" w:rsidRPr="000330F7" w:rsidRDefault="00EE29DE" w:rsidP="00EE29DE">
      <w:pPr>
        <w:spacing w:before="40" w:after="180"/>
        <w:jc w:val="both"/>
      </w:pPr>
      <w:r>
        <w:rPr>
          <w:i/>
          <w:iCs/>
          <w:sz w:val="20"/>
          <w:szCs w:val="20"/>
        </w:rPr>
        <w:t>Note: Row totals equal the GOVREG 2015 and 2023 values in the dataset (used in Eq. 4 and the panel regressions, Eq. 5–6). Annual values linearly interpolated between anchor years.</w:t>
      </w:r>
    </w:p>
    <w:p w14:paraId="1A346FEA" w14:textId="77777777" w:rsidR="00EE29DE" w:rsidRPr="000330F7" w:rsidRDefault="00EE29DE" w:rsidP="00EE29DE">
      <w:pPr>
        <w:spacing w:after="120"/>
      </w:pPr>
    </w:p>
    <w:p w14:paraId="68B62006" w14:textId="77777777" w:rsidR="00EE29DE" w:rsidRPr="000330F7" w:rsidRDefault="00EE29DE" w:rsidP="00EE29DE">
      <w:pPr>
        <w:spacing w:before="180" w:after="60"/>
      </w:pPr>
      <w:r>
        <w:rPr>
          <w:b/>
          <w:bCs/>
        </w:rPr>
        <w:t>Table A</w:t>
      </w:r>
      <w:proofErr w:type="gramStart"/>
      <w:r>
        <w:rPr>
          <w:b/>
          <w:bCs/>
        </w:rPr>
        <w:t xml:space="preserve">2  </w:t>
      </w:r>
      <w:r>
        <w:t>GOVREG</w:t>
      </w:r>
      <w:proofErr w:type="gramEnd"/>
      <w:r>
        <w:t xml:space="preserve"> scoring criterion definitions and anchor descriptions</w:t>
      </w:r>
    </w:p>
    <w:p w14:paraId="2DF772FA" w14:textId="77777777" w:rsidR="00EE29DE" w:rsidRPr="000330F7" w:rsidRDefault="00EE29DE" w:rsidP="00EE29DE">
      <w:pPr>
        <w:spacing w:after="60"/>
      </w:pPr>
    </w:p>
    <w:tbl>
      <w:tblPr>
        <w:tblStyle w:val="PlainTable2"/>
        <w:tblW w:w="9360" w:type="dxa"/>
        <w:tblLook w:val="04A0" w:firstRow="1" w:lastRow="0" w:firstColumn="1" w:lastColumn="0" w:noHBand="0" w:noVBand="1"/>
      </w:tblPr>
      <w:tblGrid>
        <w:gridCol w:w="782"/>
        <w:gridCol w:w="1695"/>
        <w:gridCol w:w="3443"/>
        <w:gridCol w:w="3440"/>
      </w:tblGrid>
      <w:tr w:rsidR="00EE29DE" w:rsidRPr="000330F7" w14:paraId="2B59A4F7" w14:textId="77777777" w:rsidTr="002B22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0902B0C6" w14:textId="77777777" w:rsidR="00EE29DE" w:rsidRPr="000330F7" w:rsidRDefault="00EE29DE" w:rsidP="002B22C6">
            <w:pPr>
              <w:jc w:val="center"/>
            </w:pPr>
            <w:r>
              <w:rPr>
                <w:sz w:val="20"/>
                <w:szCs w:val="20"/>
              </w:rPr>
              <w:t>Score</w:t>
            </w:r>
          </w:p>
        </w:tc>
        <w:tc>
          <w:tcPr>
            <w:tcW w:w="1700" w:type="dxa"/>
          </w:tcPr>
          <w:p w14:paraId="47444823" w14:textId="77777777" w:rsidR="00EE29DE" w:rsidRPr="000330F7" w:rsidRDefault="00EE29DE" w:rsidP="002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Criterion</w:t>
            </w:r>
          </w:p>
        </w:tc>
        <w:tc>
          <w:tcPr>
            <w:tcW w:w="3490" w:type="dxa"/>
          </w:tcPr>
          <w:p w14:paraId="21904700" w14:textId="77777777" w:rsidR="00EE29DE" w:rsidRPr="000330F7" w:rsidRDefault="00EE29DE" w:rsidP="002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0 = Absent</w:t>
            </w:r>
          </w:p>
        </w:tc>
        <w:tc>
          <w:tcPr>
            <w:tcW w:w="3490" w:type="dxa"/>
          </w:tcPr>
          <w:p w14:paraId="37008E23" w14:textId="77777777" w:rsidR="00EE29DE" w:rsidRPr="000330F7" w:rsidRDefault="00EE29DE" w:rsidP="002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1 = Fully Present</w:t>
            </w:r>
          </w:p>
        </w:tc>
      </w:tr>
      <w:tr w:rsidR="00EE29DE" w:rsidRPr="000330F7" w14:paraId="5AF56271" w14:textId="77777777" w:rsidTr="002B2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291A5FD0" w14:textId="77777777" w:rsidR="00EE29DE" w:rsidRPr="000330F7" w:rsidRDefault="00EE29DE" w:rsidP="002B22C6">
            <w:r>
              <w:rPr>
                <w:b w:val="0"/>
                <w:bCs w:val="0"/>
                <w:sz w:val="20"/>
                <w:szCs w:val="20"/>
              </w:rPr>
              <w:lastRenderedPageBreak/>
              <w:t>C1</w:t>
            </w:r>
          </w:p>
        </w:tc>
        <w:tc>
          <w:tcPr>
            <w:tcW w:w="1700" w:type="dxa"/>
          </w:tcPr>
          <w:p w14:paraId="73DA7E5C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Mandatory ESG disclosure as listing condition</w:t>
            </w:r>
          </w:p>
        </w:tc>
        <w:tc>
          <w:tcPr>
            <w:tcW w:w="3490" w:type="dxa"/>
          </w:tcPr>
          <w:p w14:paraId="202E7A6C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ESG reporting voluntary; no listing rule addresses sustainability</w:t>
            </w:r>
          </w:p>
        </w:tc>
        <w:tc>
          <w:tcPr>
            <w:tcW w:w="3490" w:type="dxa"/>
          </w:tcPr>
          <w:p w14:paraId="321B4366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 xml:space="preserve">ESG disclosure </w:t>
            </w:r>
            <w:proofErr w:type="gramStart"/>
            <w:r>
              <w:rPr>
                <w:sz w:val="20"/>
                <w:szCs w:val="20"/>
              </w:rPr>
              <w:t>explicitly</w:t>
            </w:r>
            <w:proofErr w:type="gramEnd"/>
            <w:r>
              <w:rPr>
                <w:sz w:val="20"/>
                <w:szCs w:val="20"/>
              </w:rPr>
              <w:t xml:space="preserve"> required in exchange listing rules; non-compliance triggers regulatory consequence</w:t>
            </w:r>
          </w:p>
        </w:tc>
      </w:tr>
      <w:tr w:rsidR="00EE29DE" w:rsidRPr="000330F7" w14:paraId="51C02C4B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12CE6058" w14:textId="77777777" w:rsidR="00EE29DE" w:rsidRPr="000330F7" w:rsidRDefault="00EE29DE" w:rsidP="002B22C6">
            <w:r>
              <w:rPr>
                <w:b w:val="0"/>
                <w:bCs w:val="0"/>
                <w:sz w:val="20"/>
                <w:szCs w:val="20"/>
              </w:rPr>
              <w:t>C2</w:t>
            </w:r>
          </w:p>
        </w:tc>
        <w:tc>
          <w:tcPr>
            <w:tcW w:w="1700" w:type="dxa"/>
          </w:tcPr>
          <w:p w14:paraId="1252DAE6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20"/>
                <w:szCs w:val="20"/>
              </w:rPr>
              <w:t>Standardised</w:t>
            </w:r>
            <w:proofErr w:type="spellEnd"/>
            <w:r>
              <w:rPr>
                <w:sz w:val="20"/>
                <w:szCs w:val="20"/>
              </w:rPr>
              <w:t xml:space="preserve"> reporting framework required or endorsed</w:t>
            </w:r>
          </w:p>
        </w:tc>
        <w:tc>
          <w:tcPr>
            <w:tcW w:w="3490" w:type="dxa"/>
          </w:tcPr>
          <w:p w14:paraId="0FA4759C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No exchange-endorsed template; firms choose format; no GRI/TCFD reference in guidance</w:t>
            </w:r>
          </w:p>
        </w:tc>
        <w:tc>
          <w:tcPr>
            <w:tcW w:w="3490" w:type="dxa"/>
          </w:tcPr>
          <w:p w14:paraId="3340A329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Exchange formally mandates a GRI/TCFD/SASB-aligned template; publicly available in official documentation</w:t>
            </w:r>
          </w:p>
        </w:tc>
      </w:tr>
      <w:tr w:rsidR="00EE29DE" w:rsidRPr="000330F7" w14:paraId="5336D5D7" w14:textId="77777777" w:rsidTr="002B2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54700F43" w14:textId="77777777" w:rsidR="00EE29DE" w:rsidRPr="000330F7" w:rsidRDefault="00EE29DE" w:rsidP="002B22C6">
            <w:r>
              <w:rPr>
                <w:b w:val="0"/>
                <w:bCs w:val="0"/>
                <w:sz w:val="20"/>
                <w:szCs w:val="20"/>
              </w:rPr>
              <w:t>C3</w:t>
            </w:r>
          </w:p>
        </w:tc>
        <w:tc>
          <w:tcPr>
            <w:tcW w:w="1700" w:type="dxa"/>
          </w:tcPr>
          <w:p w14:paraId="6A066B42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External assurance or international benchmark alignment</w:t>
            </w:r>
          </w:p>
        </w:tc>
        <w:tc>
          <w:tcPr>
            <w:tcW w:w="3490" w:type="dxa"/>
          </w:tcPr>
          <w:p w14:paraId="134DAEBA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No requirement or recommendation for third-party verification</w:t>
            </w:r>
          </w:p>
        </w:tc>
        <w:tc>
          <w:tcPr>
            <w:tcW w:w="3490" w:type="dxa"/>
          </w:tcPr>
          <w:p w14:paraId="2634D0B1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 xml:space="preserve">Exchange requires independent assurance OR inclusion in a </w:t>
            </w:r>
            <w:proofErr w:type="spellStart"/>
            <w:r>
              <w:rPr>
                <w:sz w:val="20"/>
                <w:szCs w:val="20"/>
              </w:rPr>
              <w:t>recognised</w:t>
            </w:r>
            <w:proofErr w:type="spellEnd"/>
            <w:r>
              <w:rPr>
                <w:sz w:val="20"/>
                <w:szCs w:val="20"/>
              </w:rPr>
              <w:t xml:space="preserve"> responsible investment index with external screening</w:t>
            </w:r>
          </w:p>
        </w:tc>
      </w:tr>
    </w:tbl>
    <w:p w14:paraId="79B67424" w14:textId="77777777" w:rsidR="00EE29DE" w:rsidRPr="000330F7" w:rsidRDefault="00EE29DE" w:rsidP="00EE29DE">
      <w:pPr>
        <w:spacing w:before="40" w:after="180"/>
        <w:jc w:val="both"/>
      </w:pPr>
      <w:r>
        <w:rPr>
          <w:i/>
          <w:iCs/>
          <w:sz w:val="20"/>
          <w:szCs w:val="20"/>
        </w:rPr>
        <w:t xml:space="preserve">Note: Scores between 0 and 1 reflect </w:t>
      </w:r>
      <w:proofErr w:type="gramStart"/>
      <w:r>
        <w:rPr>
          <w:i/>
          <w:iCs/>
          <w:sz w:val="20"/>
          <w:szCs w:val="20"/>
        </w:rPr>
        <w:t>graduated</w:t>
      </w:r>
      <w:proofErr w:type="gramEnd"/>
      <w:r>
        <w:rPr>
          <w:i/>
          <w:iCs/>
          <w:sz w:val="20"/>
          <w:szCs w:val="20"/>
        </w:rPr>
        <w:t xml:space="preserve"> implementation. A comply-or-explain requirement scores 0.5 on C1. A formally endorsed but optional GRI template scores 0.5 on C2. Strong recommendation for assurance without enforcement scores 0.3–0.5 on C3. Source: UNCTAD SSE Initiative [9]; ODI/FSD Africa [12].</w:t>
      </w:r>
    </w:p>
    <w:p w14:paraId="67927D84" w14:textId="77777777" w:rsidR="00EE29DE" w:rsidRPr="000330F7" w:rsidRDefault="00EE29DE" w:rsidP="00EE29DE">
      <w:pPr>
        <w:spacing w:after="120"/>
      </w:pPr>
    </w:p>
    <w:p w14:paraId="79E61547" w14:textId="77777777" w:rsidR="00EE29DE" w:rsidRPr="000330F7" w:rsidRDefault="00EE29DE" w:rsidP="00EE29DE">
      <w:pPr>
        <w:spacing w:before="180" w:after="60"/>
      </w:pPr>
      <w:r>
        <w:rPr>
          <w:b/>
          <w:bCs/>
        </w:rPr>
        <w:t>Table A</w:t>
      </w:r>
      <w:proofErr w:type="gramStart"/>
      <w:r>
        <w:rPr>
          <w:b/>
          <w:bCs/>
        </w:rPr>
        <w:t xml:space="preserve">3  </w:t>
      </w:r>
      <w:r>
        <w:t>Primary</w:t>
      </w:r>
      <w:proofErr w:type="gramEnd"/>
      <w:r>
        <w:t xml:space="preserve"> regulatory evidence for GOVREG scores: all 20 countries</w:t>
      </w:r>
    </w:p>
    <w:p w14:paraId="0ACB4D51" w14:textId="77777777" w:rsidR="00EE29DE" w:rsidRPr="000330F7" w:rsidRDefault="00EE29DE" w:rsidP="00EE29DE">
      <w:pPr>
        <w:spacing w:after="60"/>
      </w:pPr>
    </w:p>
    <w:tbl>
      <w:tblPr>
        <w:tblStyle w:val="PlainTable2"/>
        <w:tblW w:w="9360" w:type="dxa"/>
        <w:tblLook w:val="04A0" w:firstRow="1" w:lastRow="0" w:firstColumn="1" w:lastColumn="0" w:noHBand="0" w:noVBand="1"/>
      </w:tblPr>
      <w:tblGrid>
        <w:gridCol w:w="1365"/>
        <w:gridCol w:w="1204"/>
        <w:gridCol w:w="3460"/>
        <w:gridCol w:w="3331"/>
      </w:tblGrid>
      <w:tr w:rsidR="00EE29DE" w:rsidRPr="000330F7" w14:paraId="3820CA6F" w14:textId="77777777" w:rsidTr="002B22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3461CE1B" w14:textId="77777777" w:rsidR="00EE29DE" w:rsidRPr="000330F7" w:rsidRDefault="00EE29DE" w:rsidP="002B22C6">
            <w:pPr>
              <w:jc w:val="center"/>
            </w:pPr>
            <w:r>
              <w:rPr>
                <w:sz w:val="18"/>
                <w:szCs w:val="18"/>
              </w:rPr>
              <w:t>Country</w:t>
            </w:r>
          </w:p>
        </w:tc>
        <w:tc>
          <w:tcPr>
            <w:tcW w:w="1220" w:type="dxa"/>
          </w:tcPr>
          <w:p w14:paraId="272CA5B2" w14:textId="77777777" w:rsidR="00EE29DE" w:rsidRPr="000330F7" w:rsidRDefault="00EE29DE" w:rsidP="002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GOVREG 2015 / 2023</w:t>
            </w:r>
          </w:p>
        </w:tc>
        <w:tc>
          <w:tcPr>
            <w:tcW w:w="3620" w:type="dxa"/>
          </w:tcPr>
          <w:p w14:paraId="76DD66DE" w14:textId="77777777" w:rsidR="00EE29DE" w:rsidRPr="000330F7" w:rsidRDefault="00EE29DE" w:rsidP="002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Evidence 2015</w:t>
            </w:r>
          </w:p>
        </w:tc>
        <w:tc>
          <w:tcPr>
            <w:tcW w:w="3460" w:type="dxa"/>
          </w:tcPr>
          <w:p w14:paraId="26C03E3F" w14:textId="77777777" w:rsidR="00EE29DE" w:rsidRPr="000330F7" w:rsidRDefault="00EE29DE" w:rsidP="002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Evidence 2023 (Primary Source)</w:t>
            </w:r>
          </w:p>
        </w:tc>
      </w:tr>
      <w:tr w:rsidR="00EE29DE" w:rsidRPr="000330F7" w14:paraId="43E3D50F" w14:textId="77777777" w:rsidTr="002B2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5D02CC1B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South Africa</w:t>
            </w:r>
          </w:p>
        </w:tc>
        <w:tc>
          <w:tcPr>
            <w:tcW w:w="1220" w:type="dxa"/>
          </w:tcPr>
          <w:p w14:paraId="4F5D0219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1.8 / 2.7</w:t>
            </w:r>
          </w:p>
        </w:tc>
        <w:tc>
          <w:tcPr>
            <w:tcW w:w="3620" w:type="dxa"/>
          </w:tcPr>
          <w:p w14:paraId="3E264E33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JSE King III (2009): comply-or-explain; JSE ESG Guidance (2014): GRI template</w:t>
            </w:r>
          </w:p>
        </w:tc>
        <w:tc>
          <w:tcPr>
            <w:tcW w:w="3460" w:type="dxa"/>
          </w:tcPr>
          <w:p w14:paraId="5E92E18D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JSE King IV (2017): mandatory; JSE Sustainability Disclosure Guidance (2022): TCFD/GRI/SASB; FTSE/JSE RI Index. Source: UNCTAD SSE 2023</w:t>
            </w:r>
          </w:p>
        </w:tc>
      </w:tr>
      <w:tr w:rsidR="00EE29DE" w:rsidRPr="000330F7" w14:paraId="0FD0409E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16717D70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Morocco</w:t>
            </w:r>
          </w:p>
        </w:tc>
        <w:tc>
          <w:tcPr>
            <w:tcW w:w="1220" w:type="dxa"/>
          </w:tcPr>
          <w:p w14:paraId="1AE5F520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1.0 / 2.2</w:t>
            </w:r>
          </w:p>
        </w:tc>
        <w:tc>
          <w:tcPr>
            <w:tcW w:w="3620" w:type="dxa"/>
          </w:tcPr>
          <w:p w14:paraId="02F9926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CSE voluntary guide; GRI template available</w:t>
            </w:r>
          </w:p>
        </w:tc>
        <w:tc>
          <w:tcPr>
            <w:tcW w:w="3460" w:type="dxa"/>
          </w:tcPr>
          <w:p w14:paraId="3B719790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AMMC ESG Guide (2021): mandatory for all listed firms; GRI/TCFD template. Source: AMMC Circular No. 02/22</w:t>
            </w:r>
          </w:p>
        </w:tc>
      </w:tr>
      <w:tr w:rsidR="00EE29DE" w:rsidRPr="000330F7" w14:paraId="4BC2CD0F" w14:textId="77777777" w:rsidTr="002B2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434B9496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Egypt</w:t>
            </w:r>
          </w:p>
        </w:tc>
        <w:tc>
          <w:tcPr>
            <w:tcW w:w="1220" w:type="dxa"/>
          </w:tcPr>
          <w:p w14:paraId="45901842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0.8 / 1.8</w:t>
            </w:r>
          </w:p>
        </w:tc>
        <w:tc>
          <w:tcPr>
            <w:tcW w:w="3620" w:type="dxa"/>
          </w:tcPr>
          <w:p w14:paraId="43FF66AE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FRA Egypt ESG guidelines draft; voluntary</w:t>
            </w:r>
          </w:p>
        </w:tc>
        <w:tc>
          <w:tcPr>
            <w:tcW w:w="3460" w:type="dxa"/>
          </w:tcPr>
          <w:p w14:paraId="3812FEB9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FRA ESG Disclosure Guidelines (2022): mandatory; GRI template. Source: FRA Decision No. 30/2022</w:t>
            </w:r>
          </w:p>
        </w:tc>
      </w:tr>
      <w:tr w:rsidR="00EE29DE" w:rsidRPr="000330F7" w14:paraId="6A61E428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0B4187BA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Kenya</w:t>
            </w:r>
          </w:p>
        </w:tc>
        <w:tc>
          <w:tcPr>
            <w:tcW w:w="1220" w:type="dxa"/>
          </w:tcPr>
          <w:p w14:paraId="6C00A4CA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1.2 / 2.0</w:t>
            </w:r>
          </w:p>
        </w:tc>
        <w:tc>
          <w:tcPr>
            <w:tcW w:w="3620" w:type="dxa"/>
          </w:tcPr>
          <w:p w14:paraId="6FBEB864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NSE Disclosure Manual (2015): voluntary; GRI template</w:t>
            </w:r>
          </w:p>
        </w:tc>
        <w:tc>
          <w:tcPr>
            <w:tcW w:w="3460" w:type="dxa"/>
          </w:tcPr>
          <w:p w14:paraId="02B4BA76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CMA Kenya Stewardship Code (2021); NSE ESG Guidelines (2021): mandatory; GRI template. Source: NSE/CMA 2021</w:t>
            </w:r>
          </w:p>
        </w:tc>
      </w:tr>
      <w:tr w:rsidR="00EE29DE" w:rsidRPr="000330F7" w14:paraId="138784EF" w14:textId="77777777" w:rsidTr="002B2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487AC194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Nigeria</w:t>
            </w:r>
          </w:p>
        </w:tc>
        <w:tc>
          <w:tcPr>
            <w:tcW w:w="1220" w:type="dxa"/>
          </w:tcPr>
          <w:p w14:paraId="28611C97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0.8 / 1.5</w:t>
            </w:r>
          </w:p>
        </w:tc>
        <w:tc>
          <w:tcPr>
            <w:tcW w:w="3620" w:type="dxa"/>
          </w:tcPr>
          <w:p w14:paraId="30928DD2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NGX Guidelines (2018): voluntary; GRI reference</w:t>
            </w:r>
          </w:p>
        </w:tc>
        <w:tc>
          <w:tcPr>
            <w:tcW w:w="3460" w:type="dxa"/>
          </w:tcPr>
          <w:p w14:paraId="01577747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Nigerian SEC Guidelines (2021): mandatory; NGX ESG Index (2022). Source: SEC 2021</w:t>
            </w:r>
          </w:p>
        </w:tc>
      </w:tr>
      <w:tr w:rsidR="00EE29DE" w:rsidRPr="000330F7" w14:paraId="0B79D19C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510389C2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Tunisia</w:t>
            </w:r>
          </w:p>
        </w:tc>
        <w:tc>
          <w:tcPr>
            <w:tcW w:w="1220" w:type="dxa"/>
          </w:tcPr>
          <w:p w14:paraId="0FC8C104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0.6 / 1.3</w:t>
            </w:r>
          </w:p>
        </w:tc>
        <w:tc>
          <w:tcPr>
            <w:tcW w:w="3620" w:type="dxa"/>
          </w:tcPr>
          <w:p w14:paraId="23A1770B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BVMT no ESG requirement</w:t>
            </w:r>
          </w:p>
        </w:tc>
        <w:tc>
          <w:tcPr>
            <w:tcW w:w="3460" w:type="dxa"/>
          </w:tcPr>
          <w:p w14:paraId="0460AA81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CMF Tunisia ESG Requirements (2022): mandatory; GRI template. Source: CMF Circular 2022-01</w:t>
            </w:r>
          </w:p>
        </w:tc>
      </w:tr>
      <w:tr w:rsidR="00EE29DE" w:rsidRPr="000330F7" w14:paraId="7A958578" w14:textId="77777777" w:rsidTr="002B2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5B6B10BB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Botswana</w:t>
            </w:r>
          </w:p>
        </w:tc>
        <w:tc>
          <w:tcPr>
            <w:tcW w:w="1220" w:type="dxa"/>
          </w:tcPr>
          <w:p w14:paraId="356DC594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0.8 / 1.6</w:t>
            </w:r>
          </w:p>
        </w:tc>
        <w:tc>
          <w:tcPr>
            <w:tcW w:w="3620" w:type="dxa"/>
          </w:tcPr>
          <w:p w14:paraId="4F418AF8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BSE Guidelines (2016): voluntary</w:t>
            </w:r>
          </w:p>
        </w:tc>
        <w:tc>
          <w:tcPr>
            <w:tcW w:w="3460" w:type="dxa"/>
          </w:tcPr>
          <w:p w14:paraId="207D1B85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BSE ESG Listing Requirements (2021): mandatory; GRI template. Source: BSE 2021</w:t>
            </w:r>
          </w:p>
        </w:tc>
      </w:tr>
      <w:tr w:rsidR="00EE29DE" w:rsidRPr="000330F7" w14:paraId="6262F743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552E49B9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Namibia</w:t>
            </w:r>
          </w:p>
        </w:tc>
        <w:tc>
          <w:tcPr>
            <w:tcW w:w="1220" w:type="dxa"/>
          </w:tcPr>
          <w:p w14:paraId="6BCF253B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0.7 / 1.4</w:t>
            </w:r>
          </w:p>
        </w:tc>
        <w:tc>
          <w:tcPr>
            <w:tcW w:w="3620" w:type="dxa"/>
          </w:tcPr>
          <w:p w14:paraId="04D43F46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NSX Guidelines (2017): voluntary</w:t>
            </w:r>
          </w:p>
        </w:tc>
        <w:tc>
          <w:tcPr>
            <w:tcW w:w="3460" w:type="dxa"/>
          </w:tcPr>
          <w:p w14:paraId="5D8C173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NSX amended listing requirements (2020): disclosure required. Source: NSX 2020</w:t>
            </w:r>
          </w:p>
        </w:tc>
      </w:tr>
      <w:tr w:rsidR="00EE29DE" w:rsidRPr="000330F7" w14:paraId="7DC96091" w14:textId="77777777" w:rsidTr="002B2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09B4A939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lastRenderedPageBreak/>
              <w:t>Mauritius</w:t>
            </w:r>
          </w:p>
        </w:tc>
        <w:tc>
          <w:tcPr>
            <w:tcW w:w="1220" w:type="dxa"/>
          </w:tcPr>
          <w:p w14:paraId="72CCA80D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1.0 / 2.0</w:t>
            </w:r>
          </w:p>
        </w:tc>
        <w:tc>
          <w:tcPr>
            <w:tcW w:w="3620" w:type="dxa"/>
          </w:tcPr>
          <w:p w14:paraId="3057EB57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SEM Guide (2015): voluntary; GRI template</w:t>
            </w:r>
          </w:p>
        </w:tc>
        <w:tc>
          <w:tcPr>
            <w:tcW w:w="3460" w:type="dxa"/>
          </w:tcPr>
          <w:p w14:paraId="37EC42BF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SEM Listing Rules amendment (2021): mandatory; GRI/TCFD template. Source: SEM 2021</w:t>
            </w:r>
          </w:p>
        </w:tc>
      </w:tr>
      <w:tr w:rsidR="00EE29DE" w:rsidRPr="000330F7" w14:paraId="64BB7632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318A89F2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Ghana</w:t>
            </w:r>
          </w:p>
        </w:tc>
        <w:tc>
          <w:tcPr>
            <w:tcW w:w="1220" w:type="dxa"/>
          </w:tcPr>
          <w:p w14:paraId="2ADAD8B7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0.5 / 1.0</w:t>
            </w:r>
          </w:p>
        </w:tc>
        <w:tc>
          <w:tcPr>
            <w:tcW w:w="3620" w:type="dxa"/>
          </w:tcPr>
          <w:p w14:paraId="28B8A91E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GSE no ESG requirement</w:t>
            </w:r>
          </w:p>
        </w:tc>
        <w:tc>
          <w:tcPr>
            <w:tcW w:w="3460" w:type="dxa"/>
          </w:tcPr>
          <w:p w14:paraId="4F3CA60F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GSE ESG Framework (2022): voluntary; GRI endorsed; UNCTAD SSE signatory 2022</w:t>
            </w:r>
          </w:p>
        </w:tc>
      </w:tr>
      <w:tr w:rsidR="00EE29DE" w:rsidRPr="000330F7" w14:paraId="047F05E7" w14:textId="77777777" w:rsidTr="002B2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06B259D3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Tanzania</w:t>
            </w:r>
          </w:p>
        </w:tc>
        <w:tc>
          <w:tcPr>
            <w:tcW w:w="1220" w:type="dxa"/>
          </w:tcPr>
          <w:p w14:paraId="032C9839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0.5 / 1.2</w:t>
            </w:r>
          </w:p>
        </w:tc>
        <w:tc>
          <w:tcPr>
            <w:tcW w:w="3620" w:type="dxa"/>
          </w:tcPr>
          <w:p w14:paraId="60D86865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DSE no ESG requirement</w:t>
            </w:r>
          </w:p>
        </w:tc>
        <w:tc>
          <w:tcPr>
            <w:tcW w:w="3460" w:type="dxa"/>
          </w:tcPr>
          <w:p w14:paraId="6929D28B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DSE Sustainability Guidance (2021): voluntary; GRI template. Source: DSE 2021</w:t>
            </w:r>
          </w:p>
        </w:tc>
      </w:tr>
      <w:tr w:rsidR="00EE29DE" w:rsidRPr="000330F7" w14:paraId="160852B1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18121582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Rwanda</w:t>
            </w:r>
          </w:p>
        </w:tc>
        <w:tc>
          <w:tcPr>
            <w:tcW w:w="1220" w:type="dxa"/>
          </w:tcPr>
          <w:p w14:paraId="08CFE49C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0.4 / 1.0</w:t>
            </w:r>
          </w:p>
        </w:tc>
        <w:tc>
          <w:tcPr>
            <w:tcW w:w="3620" w:type="dxa"/>
          </w:tcPr>
          <w:p w14:paraId="2A81F9FB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RSE nascent exchange; no ESG requirement</w:t>
            </w:r>
          </w:p>
        </w:tc>
        <w:tc>
          <w:tcPr>
            <w:tcW w:w="3460" w:type="dxa"/>
          </w:tcPr>
          <w:p w14:paraId="575FECB2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RSE ESG Framework (2022): developing; GRI guidance. Source: CMA Rwanda 2022</w:t>
            </w:r>
          </w:p>
        </w:tc>
      </w:tr>
      <w:tr w:rsidR="00EE29DE" w:rsidRPr="000330F7" w14:paraId="5ECEB638" w14:textId="77777777" w:rsidTr="002B2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58590499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Zimbabwe</w:t>
            </w:r>
          </w:p>
        </w:tc>
        <w:tc>
          <w:tcPr>
            <w:tcW w:w="1220" w:type="dxa"/>
          </w:tcPr>
          <w:p w14:paraId="6A12598A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0.6 / 1.1</w:t>
            </w:r>
          </w:p>
        </w:tc>
        <w:tc>
          <w:tcPr>
            <w:tcW w:w="3620" w:type="dxa"/>
          </w:tcPr>
          <w:p w14:paraId="5D01FBEA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ZSE no ESG listing requirement</w:t>
            </w:r>
          </w:p>
        </w:tc>
        <w:tc>
          <w:tcPr>
            <w:tcW w:w="3460" w:type="dxa"/>
          </w:tcPr>
          <w:p w14:paraId="302A38B8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ZSE Sustainability Guidelines (2021): voluntary; GRI guidance. Source: ZSE 2021</w:t>
            </w:r>
          </w:p>
        </w:tc>
      </w:tr>
      <w:tr w:rsidR="00EE29DE" w:rsidRPr="000330F7" w14:paraId="0414FDF3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3B317835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Zambia</w:t>
            </w:r>
          </w:p>
        </w:tc>
        <w:tc>
          <w:tcPr>
            <w:tcW w:w="1220" w:type="dxa"/>
          </w:tcPr>
          <w:p w14:paraId="73DD5860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0.4 / 0.9</w:t>
            </w:r>
          </w:p>
        </w:tc>
        <w:tc>
          <w:tcPr>
            <w:tcW w:w="3620" w:type="dxa"/>
          </w:tcPr>
          <w:p w14:paraId="0D9453E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  <w:szCs w:val="18"/>
              </w:rPr>
              <w:t>LuSE</w:t>
            </w:r>
            <w:proofErr w:type="spellEnd"/>
            <w:r>
              <w:rPr>
                <w:sz w:val="18"/>
                <w:szCs w:val="18"/>
              </w:rPr>
              <w:t xml:space="preserve"> no ESG requirement</w:t>
            </w:r>
          </w:p>
        </w:tc>
        <w:tc>
          <w:tcPr>
            <w:tcW w:w="3460" w:type="dxa"/>
          </w:tcPr>
          <w:p w14:paraId="0E62EC6E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  <w:szCs w:val="18"/>
              </w:rPr>
              <w:t>LuSE</w:t>
            </w:r>
            <w:proofErr w:type="spellEnd"/>
            <w:r>
              <w:rPr>
                <w:sz w:val="18"/>
                <w:szCs w:val="18"/>
              </w:rPr>
              <w:t xml:space="preserve"> ESG Guidance (2022): voluntary; GRI template. Source: SEC Zambia 2022</w:t>
            </w:r>
          </w:p>
        </w:tc>
      </w:tr>
      <w:tr w:rsidR="00EE29DE" w:rsidRPr="000330F7" w14:paraId="526AB995" w14:textId="77777777" w:rsidTr="002B2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345EF96B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Senegal</w:t>
            </w:r>
          </w:p>
        </w:tc>
        <w:tc>
          <w:tcPr>
            <w:tcW w:w="1220" w:type="dxa"/>
          </w:tcPr>
          <w:p w14:paraId="3A9342CE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 / 0.8</w:t>
            </w:r>
          </w:p>
        </w:tc>
        <w:tc>
          <w:tcPr>
            <w:tcW w:w="3620" w:type="dxa"/>
          </w:tcPr>
          <w:p w14:paraId="3E76B6DF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BRVM no ESG requirement</w:t>
            </w:r>
          </w:p>
        </w:tc>
        <w:tc>
          <w:tcPr>
            <w:tcW w:w="3460" w:type="dxa"/>
          </w:tcPr>
          <w:p w14:paraId="6B526146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BRVM ESG Framework (2022): voluntary; GRI reference. Source: BRVM 2022</w:t>
            </w:r>
          </w:p>
        </w:tc>
      </w:tr>
      <w:tr w:rsidR="00EE29DE" w:rsidRPr="000330F7" w14:paraId="185EE3D0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635E6C68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Côte d'Ivoire</w:t>
            </w:r>
          </w:p>
        </w:tc>
        <w:tc>
          <w:tcPr>
            <w:tcW w:w="1220" w:type="dxa"/>
          </w:tcPr>
          <w:p w14:paraId="3871C579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 / 0.8</w:t>
            </w:r>
          </w:p>
        </w:tc>
        <w:tc>
          <w:tcPr>
            <w:tcW w:w="3620" w:type="dxa"/>
          </w:tcPr>
          <w:p w14:paraId="7FB177D0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BRVM no ESG requirement</w:t>
            </w:r>
          </w:p>
        </w:tc>
        <w:tc>
          <w:tcPr>
            <w:tcW w:w="3460" w:type="dxa"/>
          </w:tcPr>
          <w:p w14:paraId="564E63FE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BRVM ESG Framework (2022); CIV sovereign green bond (2023) sets reporting precedent</w:t>
            </w:r>
          </w:p>
        </w:tc>
      </w:tr>
      <w:tr w:rsidR="00EE29DE" w:rsidRPr="000330F7" w14:paraId="279B117C" w14:textId="77777777" w:rsidTr="002B2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0B56628E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Uganda</w:t>
            </w:r>
          </w:p>
        </w:tc>
        <w:tc>
          <w:tcPr>
            <w:tcW w:w="1220" w:type="dxa"/>
          </w:tcPr>
          <w:p w14:paraId="0C0F99B6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 / 0.7</w:t>
            </w:r>
          </w:p>
        </w:tc>
        <w:tc>
          <w:tcPr>
            <w:tcW w:w="3620" w:type="dxa"/>
          </w:tcPr>
          <w:p w14:paraId="4D889077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USE no ESG requirement</w:t>
            </w:r>
          </w:p>
        </w:tc>
        <w:tc>
          <w:tcPr>
            <w:tcW w:w="3460" w:type="dxa"/>
          </w:tcPr>
          <w:p w14:paraId="0B1B0BA9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USE ESG Guidance (2022): voluntary; CMA Uganda guidance. Source: CMA Uganda 2022</w:t>
            </w:r>
          </w:p>
        </w:tc>
      </w:tr>
      <w:tr w:rsidR="00EE29DE" w:rsidRPr="000330F7" w14:paraId="561F2340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02FA99A4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Ethiopia</w:t>
            </w:r>
          </w:p>
        </w:tc>
        <w:tc>
          <w:tcPr>
            <w:tcW w:w="1220" w:type="dxa"/>
          </w:tcPr>
          <w:p w14:paraId="62E4E904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 / 0.5</w:t>
            </w:r>
          </w:p>
        </w:tc>
        <w:tc>
          <w:tcPr>
            <w:tcW w:w="3620" w:type="dxa"/>
          </w:tcPr>
          <w:p w14:paraId="02CC2064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No exchange (ESX launched July 2023)</w:t>
            </w:r>
          </w:p>
        </w:tc>
        <w:tc>
          <w:tcPr>
            <w:tcW w:w="3460" w:type="dxa"/>
          </w:tcPr>
          <w:p w14:paraId="6C034FF4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ESX launched 2023; no ESG requirements under Capital Markets Authority Act 2021</w:t>
            </w:r>
          </w:p>
        </w:tc>
      </w:tr>
      <w:tr w:rsidR="00EE29DE" w:rsidRPr="000330F7" w14:paraId="76AFDCD2" w14:textId="77777777" w:rsidTr="002B2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0398367B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Mozambique</w:t>
            </w:r>
          </w:p>
        </w:tc>
        <w:tc>
          <w:tcPr>
            <w:tcW w:w="1220" w:type="dxa"/>
          </w:tcPr>
          <w:p w14:paraId="016EB333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 / 0.5</w:t>
            </w:r>
          </w:p>
        </w:tc>
        <w:tc>
          <w:tcPr>
            <w:tcW w:w="3620" w:type="dxa"/>
          </w:tcPr>
          <w:p w14:paraId="0EDD6CF1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BVM no ESG requirement; frontier market</w:t>
            </w:r>
          </w:p>
        </w:tc>
        <w:tc>
          <w:tcPr>
            <w:tcW w:w="3460" w:type="dxa"/>
          </w:tcPr>
          <w:p w14:paraId="5FA922FB" w14:textId="77777777" w:rsidR="00EE29DE" w:rsidRPr="000330F7" w:rsidRDefault="00EE29DE" w:rsidP="002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BVM no ESG requirement as of 2023; not UNCTAD SSE signatory. Source: BVM 2022</w:t>
            </w:r>
          </w:p>
        </w:tc>
      </w:tr>
      <w:tr w:rsidR="00EE29DE" w:rsidRPr="000330F7" w14:paraId="0888156B" w14:textId="77777777" w:rsidTr="002B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53B76085" w14:textId="77777777" w:rsidR="00EE29DE" w:rsidRPr="000330F7" w:rsidRDefault="00EE29DE" w:rsidP="002B22C6">
            <w:r>
              <w:rPr>
                <w:b w:val="0"/>
                <w:bCs w:val="0"/>
                <w:sz w:val="18"/>
                <w:szCs w:val="18"/>
              </w:rPr>
              <w:t>Malawi</w:t>
            </w:r>
          </w:p>
        </w:tc>
        <w:tc>
          <w:tcPr>
            <w:tcW w:w="1220" w:type="dxa"/>
          </w:tcPr>
          <w:p w14:paraId="3CFEAE73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 / 0.4</w:t>
            </w:r>
          </w:p>
        </w:tc>
        <w:tc>
          <w:tcPr>
            <w:tcW w:w="3620" w:type="dxa"/>
          </w:tcPr>
          <w:p w14:paraId="11774D58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MSE no ESG requirement; ~15 listed firms</w:t>
            </w:r>
          </w:p>
        </w:tc>
        <w:tc>
          <w:tcPr>
            <w:tcW w:w="3460" w:type="dxa"/>
          </w:tcPr>
          <w:p w14:paraId="28DEDB19" w14:textId="77777777" w:rsidR="00EE29DE" w:rsidRPr="000330F7" w:rsidRDefault="00EE29DE" w:rsidP="002B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MSE no ESG requirement as of 2023; not UNCTAD SSE signatory. Source: MSE 2022</w:t>
            </w:r>
          </w:p>
        </w:tc>
      </w:tr>
    </w:tbl>
    <w:p w14:paraId="67AA5A59" w14:textId="77777777" w:rsidR="00EE29DE" w:rsidRPr="000330F7" w:rsidRDefault="00EE29DE" w:rsidP="00EE29DE">
      <w:pPr>
        <w:spacing w:before="40" w:after="180"/>
        <w:jc w:val="both"/>
      </w:pPr>
      <w:r>
        <w:rPr>
          <w:i/>
          <w:iCs/>
          <w:sz w:val="20"/>
          <w:szCs w:val="20"/>
        </w:rPr>
        <w:t xml:space="preserve">Note: Exchange abbreviations: JSE = Johannesburg SE; NGX = Nigerian Exchange Group; NSE = Nairobi SE; CSE = Casablanca SE; EGX = Egyptian Exchange; BSE = Botswana SE; SEM = Stock Exchange of Mauritius; NSX = Namibia SE; DSE = Dar es Salaam SE; RSE = Rwanda SE; ZSE = Zimbabwe SE; </w:t>
      </w:r>
      <w:proofErr w:type="spellStart"/>
      <w:r>
        <w:rPr>
          <w:i/>
          <w:iCs/>
          <w:sz w:val="20"/>
          <w:szCs w:val="20"/>
        </w:rPr>
        <w:t>LuSE</w:t>
      </w:r>
      <w:proofErr w:type="spellEnd"/>
      <w:r>
        <w:rPr>
          <w:i/>
          <w:iCs/>
          <w:sz w:val="20"/>
          <w:szCs w:val="20"/>
        </w:rPr>
        <w:t xml:space="preserve"> = Lusaka SE; USE = Uganda SE; BVMT = Bourse des Valeurs </w:t>
      </w:r>
      <w:proofErr w:type="spellStart"/>
      <w:r>
        <w:rPr>
          <w:i/>
          <w:iCs/>
          <w:sz w:val="20"/>
          <w:szCs w:val="20"/>
        </w:rPr>
        <w:t>Mobilières</w:t>
      </w:r>
      <w:proofErr w:type="spellEnd"/>
      <w:r>
        <w:rPr>
          <w:i/>
          <w:iCs/>
          <w:sz w:val="20"/>
          <w:szCs w:val="20"/>
        </w:rPr>
        <w:t xml:space="preserve"> de Tunis; BVM = Bolsa de Valores de Moçambique; MSE = Malawi SE; BRVM = Bourse </w:t>
      </w:r>
      <w:proofErr w:type="spellStart"/>
      <w:r>
        <w:rPr>
          <w:i/>
          <w:iCs/>
          <w:sz w:val="20"/>
          <w:szCs w:val="20"/>
        </w:rPr>
        <w:t>Régionale</w:t>
      </w:r>
      <w:proofErr w:type="spellEnd"/>
      <w:r>
        <w:rPr>
          <w:i/>
          <w:iCs/>
          <w:sz w:val="20"/>
          <w:szCs w:val="20"/>
        </w:rPr>
        <w:t xml:space="preserve"> des Valeurs </w:t>
      </w:r>
      <w:proofErr w:type="spellStart"/>
      <w:r>
        <w:rPr>
          <w:i/>
          <w:iCs/>
          <w:sz w:val="20"/>
          <w:szCs w:val="20"/>
        </w:rPr>
        <w:t>Mobilières</w:t>
      </w:r>
      <w:proofErr w:type="spellEnd"/>
      <w:r>
        <w:rPr>
          <w:i/>
          <w:iCs/>
          <w:sz w:val="20"/>
          <w:szCs w:val="20"/>
        </w:rPr>
        <w:t xml:space="preserve"> (West Africa, 8 WAEMU states).</w:t>
      </w:r>
    </w:p>
    <w:p w14:paraId="0D58F62E" w14:textId="77777777" w:rsidR="00EE29DE" w:rsidRPr="000330F7" w:rsidRDefault="00EE29DE" w:rsidP="00EE29DE">
      <w:pPr>
        <w:spacing w:after="200"/>
      </w:pPr>
    </w:p>
    <w:p w14:paraId="73706198" w14:textId="77777777" w:rsidR="00C6465A" w:rsidRDefault="00C6465A"/>
    <w:sectPr w:rsidR="00C6465A" w:rsidSect="00EE29DE">
      <w:footerReference w:type="default" r:id="rId4"/>
      <w:pgSz w:w="12240" w:h="15840"/>
      <w:pgMar w:top="1440" w:right="1260" w:bottom="144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21848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E90121" w14:textId="77777777" w:rsidR="00EE29DE" w:rsidRDefault="00EE29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DD0E3B" w14:textId="77777777" w:rsidR="00EE29DE" w:rsidRPr="009F3423" w:rsidRDefault="00EE29DE" w:rsidP="009F342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DE"/>
    <w:rsid w:val="000905F0"/>
    <w:rsid w:val="00112C91"/>
    <w:rsid w:val="00242B4F"/>
    <w:rsid w:val="00302F9E"/>
    <w:rsid w:val="00495279"/>
    <w:rsid w:val="004E23CF"/>
    <w:rsid w:val="006D5216"/>
    <w:rsid w:val="00A80498"/>
    <w:rsid w:val="00C52040"/>
    <w:rsid w:val="00C62D14"/>
    <w:rsid w:val="00C6465A"/>
    <w:rsid w:val="00EA3576"/>
    <w:rsid w:val="00EE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3CF7A"/>
  <w15:chartTrackingRefBased/>
  <w15:docId w15:val="{6A72423C-DDF2-42EB-BC93-6A4197D5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9DE"/>
    <w:pPr>
      <w:spacing w:after="0" w:line="240" w:lineRule="auto"/>
    </w:pPr>
    <w:rPr>
      <w:rFonts w:ascii="DejaVu Sans" w:eastAsia="DejaVu Sans" w:hAnsi="DejaVu Sans" w:cs="DejaVu Sans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9D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9D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9D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9D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9D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9D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9D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9D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9D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9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9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9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9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9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9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9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2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9D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2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9D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29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9D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29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9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9D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E29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29DE"/>
    <w:rPr>
      <w:rFonts w:ascii="DejaVu Sans" w:eastAsia="DejaVu Sans" w:hAnsi="DejaVu Sans" w:cs="DejaVu Sans"/>
      <w:kern w:val="0"/>
      <w:lang w:val="en-US"/>
      <w14:ligatures w14:val="none"/>
    </w:rPr>
  </w:style>
  <w:style w:type="table" w:styleId="PlainTable2">
    <w:name w:val="Plain Table 2"/>
    <w:basedOn w:val="TableNormal"/>
    <w:uiPriority w:val="42"/>
    <w:rsid w:val="00EE29DE"/>
    <w:pPr>
      <w:spacing w:after="0" w:line="240" w:lineRule="auto"/>
    </w:pPr>
    <w:rPr>
      <w:rFonts w:ascii="DejaVu Sans" w:eastAsia="DejaVu Sans" w:hAnsi="DejaVu Sans" w:cs="DejaVu Sans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1008</Words>
  <Characters>5897</Characters>
  <Application>Microsoft Office Word</Application>
  <DocSecurity>0</DocSecurity>
  <Lines>143</Lines>
  <Paragraphs>75</Paragraphs>
  <ScaleCrop>false</ScaleCrop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2026-06-18T10:32:00Z</dcterms:created>
  <dcterms:modified xsi:type="dcterms:W3CDTF">2026-06-18T10:32:00Z</dcterms:modified>
</cp:coreProperties>
</file>