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F407A" w14:textId="7A95CE67" w:rsidR="00654C93" w:rsidRPr="00840583" w:rsidRDefault="00840583" w:rsidP="00840583">
      <w:pPr>
        <w:pStyle w:val="1"/>
        <w:spacing w:before="0"/>
        <w:rPr>
          <w:color w:val="000000" w:themeColor="text1"/>
          <w:sz w:val="24"/>
          <w:szCs w:val="24"/>
        </w:rPr>
      </w:pPr>
      <w:r w:rsidRPr="00840583">
        <w:rPr>
          <w:color w:val="000000" w:themeColor="text1"/>
          <w:sz w:val="24"/>
          <w:szCs w:val="24"/>
        </w:rPr>
        <w:t>Supplementary file</w:t>
      </w:r>
      <w:r w:rsidR="00000000" w:rsidRPr="00840583">
        <w:rPr>
          <w:color w:val="000000" w:themeColor="text1"/>
          <w:sz w:val="24"/>
          <w:szCs w:val="24"/>
        </w:rPr>
        <w:t xml:space="preserve"> 1</w:t>
      </w:r>
      <w:r w:rsidRPr="00840583">
        <w:rPr>
          <w:color w:val="000000" w:themeColor="text1"/>
          <w:sz w:val="24"/>
          <w:szCs w:val="24"/>
        </w:rPr>
        <w:t xml:space="preserve">. </w:t>
      </w:r>
      <w:r w:rsidR="00000000" w:rsidRPr="00840583">
        <w:rPr>
          <w:color w:val="000000" w:themeColor="text1"/>
          <w:sz w:val="24"/>
          <w:szCs w:val="24"/>
        </w:rPr>
        <w:t>English-language version of the GM-ITE 2024 background questionnaire items used in this study</w:t>
      </w:r>
      <w:r>
        <w:rPr>
          <w:color w:val="000000" w:themeColor="text1"/>
          <w:sz w:val="24"/>
          <w:szCs w:val="24"/>
        </w:rPr>
        <w:t>.</w:t>
      </w:r>
    </w:p>
    <w:tbl>
      <w:tblPr>
        <w:tblStyle w:val="af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3"/>
        <w:gridCol w:w="5291"/>
      </w:tblGrid>
      <w:tr w:rsidR="00840583" w14:paraId="57A0852A" w14:textId="77777777" w:rsidTr="00840583">
        <w:trPr>
          <w:jc w:val="center"/>
        </w:trPr>
        <w:tc>
          <w:tcPr>
            <w:tcW w:w="3173" w:type="dxa"/>
          </w:tcPr>
          <w:p w14:paraId="72B2C36E" w14:textId="77777777" w:rsidR="00840583" w:rsidRDefault="00840583">
            <w:r>
              <w:rPr>
                <w:b/>
              </w:rPr>
              <w:t>Question / variable</w:t>
            </w:r>
          </w:p>
        </w:tc>
        <w:tc>
          <w:tcPr>
            <w:tcW w:w="5291" w:type="dxa"/>
          </w:tcPr>
          <w:p w14:paraId="4F003FE8" w14:textId="77777777" w:rsidR="00840583" w:rsidRDefault="00840583">
            <w:r>
              <w:rPr>
                <w:b/>
              </w:rPr>
              <w:t>Response options or format</w:t>
            </w:r>
          </w:p>
        </w:tc>
      </w:tr>
      <w:tr w:rsidR="00840583" w14:paraId="3F9E9FEF" w14:textId="77777777" w:rsidTr="00840583">
        <w:trPr>
          <w:jc w:val="center"/>
        </w:trPr>
        <w:tc>
          <w:tcPr>
            <w:tcW w:w="3173" w:type="dxa"/>
          </w:tcPr>
          <w:p w14:paraId="5629274F" w14:textId="77777777" w:rsidR="00840583" w:rsidRDefault="00840583">
            <w:r>
              <w:t>Consent for research use</w:t>
            </w:r>
          </w:p>
        </w:tc>
        <w:tc>
          <w:tcPr>
            <w:tcW w:w="5291" w:type="dxa"/>
          </w:tcPr>
          <w:p w14:paraId="03D5E429" w14:textId="253F2818" w:rsidR="00840583" w:rsidRDefault="00840583">
            <w:r>
              <w:t>Yes / No.</w:t>
            </w:r>
          </w:p>
        </w:tc>
      </w:tr>
      <w:tr w:rsidR="00840583" w14:paraId="3F4D9A01" w14:textId="77777777" w:rsidTr="00840583">
        <w:trPr>
          <w:jc w:val="center"/>
        </w:trPr>
        <w:tc>
          <w:tcPr>
            <w:tcW w:w="3173" w:type="dxa"/>
          </w:tcPr>
          <w:p w14:paraId="62E45C9D" w14:textId="77777777" w:rsidR="00840583" w:rsidRDefault="00840583">
            <w:r>
              <w:t>Postgraduate year</w:t>
            </w:r>
          </w:p>
        </w:tc>
        <w:tc>
          <w:tcPr>
            <w:tcW w:w="5291" w:type="dxa"/>
          </w:tcPr>
          <w:p w14:paraId="6DC1CFCB" w14:textId="77777777" w:rsidR="00840583" w:rsidRDefault="00840583">
            <w:r>
              <w:t>PGY-1 / PGY-2 / Other.</w:t>
            </w:r>
          </w:p>
        </w:tc>
      </w:tr>
      <w:tr w:rsidR="00840583" w14:paraId="775BA1EE" w14:textId="77777777" w:rsidTr="00840583">
        <w:trPr>
          <w:jc w:val="center"/>
        </w:trPr>
        <w:tc>
          <w:tcPr>
            <w:tcW w:w="3173" w:type="dxa"/>
          </w:tcPr>
          <w:p w14:paraId="404853C1" w14:textId="77777777" w:rsidR="00840583" w:rsidRDefault="00840583">
            <w:r>
              <w:t>Duration of community medicine rotation during initial residency</w:t>
            </w:r>
          </w:p>
        </w:tc>
        <w:tc>
          <w:tcPr>
            <w:tcW w:w="5291" w:type="dxa"/>
          </w:tcPr>
          <w:p w14:paraId="31C1EADB" w14:textId="77777777" w:rsidR="00840583" w:rsidRDefault="00840583">
            <w:r>
              <w:t>1 month (1–4 weeks); 2 months (5–8 weeks); 3 months (9–12 weeks); 4 months (13–16 weeks); 5 months (17–20 weeks); 6 months or more (≥21 weeks).</w:t>
            </w:r>
          </w:p>
        </w:tc>
      </w:tr>
      <w:tr w:rsidR="00840583" w14:paraId="5CD69B67" w14:textId="77777777" w:rsidTr="00840583">
        <w:trPr>
          <w:jc w:val="center"/>
        </w:trPr>
        <w:tc>
          <w:tcPr>
            <w:tcW w:w="3173" w:type="dxa"/>
          </w:tcPr>
          <w:p w14:paraId="30D8B6C4" w14:textId="77777777" w:rsidR="00840583" w:rsidRDefault="00840583">
            <w:r>
              <w:t>Age</w:t>
            </w:r>
          </w:p>
        </w:tc>
        <w:tc>
          <w:tcPr>
            <w:tcW w:w="5291" w:type="dxa"/>
          </w:tcPr>
          <w:p w14:paraId="04E83F72" w14:textId="77777777" w:rsidR="00840583" w:rsidRDefault="00840583">
            <w:r>
              <w:t>Age in years.</w:t>
            </w:r>
          </w:p>
        </w:tc>
      </w:tr>
      <w:tr w:rsidR="00840583" w14:paraId="67064AA8" w14:textId="77777777" w:rsidTr="00840583">
        <w:trPr>
          <w:jc w:val="center"/>
        </w:trPr>
        <w:tc>
          <w:tcPr>
            <w:tcW w:w="3173" w:type="dxa"/>
          </w:tcPr>
          <w:p w14:paraId="25E1D6F2" w14:textId="77777777" w:rsidR="00840583" w:rsidRDefault="00840583">
            <w:r>
              <w:t>Gender</w:t>
            </w:r>
          </w:p>
        </w:tc>
        <w:tc>
          <w:tcPr>
            <w:tcW w:w="5291" w:type="dxa"/>
          </w:tcPr>
          <w:p w14:paraId="63FFCA71" w14:textId="43B8BDDD" w:rsidR="00840583" w:rsidRDefault="00840583">
            <w:r>
              <w:t xml:space="preserve">Male / Female / </w:t>
            </w:r>
            <w:r w:rsidRPr="00840583">
              <w:t>Do not reply</w:t>
            </w:r>
            <w:r>
              <w:t>.</w:t>
            </w:r>
          </w:p>
        </w:tc>
      </w:tr>
      <w:tr w:rsidR="00840583" w14:paraId="6086A329" w14:textId="77777777" w:rsidTr="00840583">
        <w:trPr>
          <w:jc w:val="center"/>
        </w:trPr>
        <w:tc>
          <w:tcPr>
            <w:tcW w:w="3173" w:type="dxa"/>
          </w:tcPr>
          <w:p w14:paraId="6011EF87" w14:textId="77777777" w:rsidR="00840583" w:rsidRDefault="00840583">
            <w:r>
              <w:t>Weekly work hours</w:t>
            </w:r>
          </w:p>
        </w:tc>
        <w:tc>
          <w:tcPr>
            <w:tcW w:w="5291" w:type="dxa"/>
          </w:tcPr>
          <w:p w14:paraId="2B1F081A" w14:textId="5C47B60E" w:rsidR="00840583" w:rsidRDefault="00840583">
            <w:r>
              <w:t>Weekly work hours were originally collected using 11 response categories ranging from “less than 40 hours” to “100 hours or more,” with approximate monthly overtime hours provided for each category. For analysis, these responses were categorized as ≤60 hours, 60–65 hours, and ≥65 hours.</w:t>
            </w:r>
          </w:p>
        </w:tc>
      </w:tr>
      <w:tr w:rsidR="00840583" w14:paraId="14A2FB01" w14:textId="77777777" w:rsidTr="00840583">
        <w:trPr>
          <w:jc w:val="center"/>
        </w:trPr>
        <w:tc>
          <w:tcPr>
            <w:tcW w:w="3173" w:type="dxa"/>
          </w:tcPr>
          <w:p w14:paraId="14650A35" w14:textId="77777777" w:rsidR="00840583" w:rsidRDefault="00840583">
            <w:r>
              <w:t>On-call frequency per month</w:t>
            </w:r>
          </w:p>
        </w:tc>
        <w:tc>
          <w:tcPr>
            <w:tcW w:w="5291" w:type="dxa"/>
          </w:tcPr>
          <w:p w14:paraId="03454CE1" w14:textId="77777777" w:rsidR="00840583" w:rsidRDefault="00840583">
            <w:r>
              <w:t>Zero; 1–2 times; 3–5 times; More than 6 times; Unknown.</w:t>
            </w:r>
          </w:p>
        </w:tc>
      </w:tr>
      <w:tr w:rsidR="00840583" w14:paraId="41BC2EE3" w14:textId="77777777" w:rsidTr="00840583">
        <w:trPr>
          <w:jc w:val="center"/>
        </w:trPr>
        <w:tc>
          <w:tcPr>
            <w:tcW w:w="3173" w:type="dxa"/>
          </w:tcPr>
          <w:p w14:paraId="245C7CE2" w14:textId="77777777" w:rsidR="00840583" w:rsidRDefault="00840583">
            <w:r>
              <w:t>Daily self-study time</w:t>
            </w:r>
          </w:p>
        </w:tc>
        <w:tc>
          <w:tcPr>
            <w:tcW w:w="5291" w:type="dxa"/>
          </w:tcPr>
          <w:p w14:paraId="0B2FBEED" w14:textId="77777777" w:rsidR="00840583" w:rsidRDefault="00840583">
            <w:r>
              <w:t>None; 0–30 minutes; 31–60 minutes; 61–90 minutes; 91–120 minutes; More than 121 minutes.</w:t>
            </w:r>
          </w:p>
        </w:tc>
      </w:tr>
      <w:tr w:rsidR="00840583" w14:paraId="3886B442" w14:textId="77777777" w:rsidTr="00840583">
        <w:trPr>
          <w:jc w:val="center"/>
        </w:trPr>
        <w:tc>
          <w:tcPr>
            <w:tcW w:w="3173" w:type="dxa"/>
          </w:tcPr>
          <w:p w14:paraId="4DDA59B9" w14:textId="77777777" w:rsidR="00840583" w:rsidRDefault="00840583">
            <w:r>
              <w:t>Regional quota status</w:t>
            </w:r>
          </w:p>
        </w:tc>
        <w:tc>
          <w:tcPr>
            <w:tcW w:w="5291" w:type="dxa"/>
          </w:tcPr>
          <w:p w14:paraId="4CB0DFCE" w14:textId="689DDE5C" w:rsidR="00840583" w:rsidRDefault="00840583">
            <w:r>
              <w:t>Yes / No.</w:t>
            </w:r>
          </w:p>
        </w:tc>
      </w:tr>
    </w:tbl>
    <w:p w14:paraId="22BE1A53" w14:textId="77777777" w:rsidR="00654C93" w:rsidRDefault="00000000">
      <w:r>
        <w:t>Variables not obtained from the background questionnaire: GM-ITE examination scores were obtained from the examination database. Hospital type was obtained from the GM-ITE administrative database and classified as community hospital or university hospital.</w:t>
      </w:r>
    </w:p>
    <w:p w14:paraId="52129EDD" w14:textId="34ABCF39" w:rsidR="00840583" w:rsidRDefault="00840583">
      <w:r w:rsidRPr="00840583">
        <w:rPr>
          <w:b/>
          <w:bCs/>
        </w:rPr>
        <w:t>Note</w:t>
      </w:r>
      <w:r>
        <w:t>: The items below are an English translation of the background questionnaire items relevant to the present analysis. The questionnaire was administered as part of the General Medicine In-Training Examination (GM-ITE) 2024 by the Japan Institute for Advancement of Medical Education Program (JAMEP). The original questionnaire was administered in Japanese.</w:t>
      </w:r>
    </w:p>
    <w:sectPr w:rsidR="0084058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899436982">
    <w:abstractNumId w:val="8"/>
  </w:num>
  <w:num w:numId="2" w16cid:durableId="220794516">
    <w:abstractNumId w:val="6"/>
  </w:num>
  <w:num w:numId="3" w16cid:durableId="1329476657">
    <w:abstractNumId w:val="5"/>
  </w:num>
  <w:num w:numId="4" w16cid:durableId="61802925">
    <w:abstractNumId w:val="4"/>
  </w:num>
  <w:num w:numId="5" w16cid:durableId="255407801">
    <w:abstractNumId w:val="7"/>
  </w:num>
  <w:num w:numId="6" w16cid:durableId="1774207129">
    <w:abstractNumId w:val="3"/>
  </w:num>
  <w:num w:numId="7" w16cid:durableId="481166347">
    <w:abstractNumId w:val="2"/>
  </w:num>
  <w:num w:numId="8" w16cid:durableId="1097140047">
    <w:abstractNumId w:val="1"/>
  </w:num>
  <w:num w:numId="9" w16cid:durableId="735008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54C93"/>
    <w:rsid w:val="00840583"/>
    <w:rsid w:val="00AA1D8D"/>
    <w:rsid w:val="00B47730"/>
    <w:rsid w:val="00CB0664"/>
    <w:rsid w:val="00E64D0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0F7C04D"/>
  <w14:defaultImageDpi w14:val="300"/>
  <w15:docId w15:val="{F2AB7C5B-A0E4-C342-8AD1-1838C5FAB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hAnsi="Times New Roman"/>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紀好 鋪野</cp:lastModifiedBy>
  <cp:revision>2</cp:revision>
  <dcterms:created xsi:type="dcterms:W3CDTF">2013-12-23T23:15:00Z</dcterms:created>
  <dcterms:modified xsi:type="dcterms:W3CDTF">2026-05-22T03:34:00Z</dcterms:modified>
  <cp:category/>
</cp:coreProperties>
</file>