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FDA8" w14:textId="77777777" w:rsidR="005215B0" w:rsidRDefault="005215B0" w:rsidP="005215B0">
      <w:pPr>
        <w:rPr>
          <w:b/>
          <w:bCs/>
          <w:lang w:val="en-GB"/>
        </w:rPr>
      </w:pPr>
      <w:r>
        <w:rPr>
          <w:b/>
          <w:bCs/>
          <w:lang w:val="en-GB"/>
        </w:rPr>
        <w:t>Online Archive</w:t>
      </w:r>
    </w:p>
    <w:p w14:paraId="3114B9EC" w14:textId="77777777" w:rsidR="005215B0" w:rsidRPr="00A629F0" w:rsidRDefault="005215B0" w:rsidP="005215B0">
      <w:pPr>
        <w:rPr>
          <w:lang w:val="en-GB"/>
        </w:rPr>
      </w:pPr>
      <w:r w:rsidRPr="00A629F0">
        <w:rPr>
          <w:b/>
          <w:bCs/>
          <w:lang w:val="en-GB"/>
        </w:rPr>
        <w:t>Table 1</w:t>
      </w:r>
      <w:r w:rsidRPr="00A629F0">
        <w:rPr>
          <w:lang w:val="en-GB"/>
        </w:rPr>
        <w:t xml:space="preserve"> - Telemedicine feasibility, supervised transport assessment, provider agreement, and critical interventions stratified by dispatch category and age group</w:t>
      </w:r>
    </w:p>
    <w:p w14:paraId="032D6CCD" w14:textId="77777777" w:rsidR="005215B0" w:rsidRDefault="005215B0" w:rsidP="005215B0">
      <w:r>
        <w:rPr>
          <w:noProof/>
        </w:rPr>
        <w:drawing>
          <wp:inline distT="0" distB="0" distL="0" distR="0" wp14:anchorId="2540F911" wp14:editId="489FC9B5">
            <wp:extent cx="8863330" cy="2755265"/>
            <wp:effectExtent l="0" t="0" r="0" b="6985"/>
            <wp:docPr id="1772320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20163" name=""/>
                    <pic:cNvPicPr/>
                  </pic:nvPicPr>
                  <pic:blipFill>
                    <a:blip r:embed="rId4"/>
                    <a:stretch>
                      <a:fillRect/>
                    </a:stretch>
                  </pic:blipFill>
                  <pic:spPr>
                    <a:xfrm>
                      <a:off x="0" y="0"/>
                      <a:ext cx="8863330" cy="2755265"/>
                    </a:xfrm>
                    <a:prstGeom prst="rect">
                      <a:avLst/>
                    </a:prstGeom>
                  </pic:spPr>
                </pic:pic>
              </a:graphicData>
            </a:graphic>
          </wp:inline>
        </w:drawing>
      </w:r>
    </w:p>
    <w:p w14:paraId="00B3B4B1" w14:textId="77777777" w:rsidR="005215B0" w:rsidRDefault="005215B0" w:rsidP="005215B0"/>
    <w:p w14:paraId="092790F8" w14:textId="77777777" w:rsidR="005215B0" w:rsidRDefault="005215B0" w:rsidP="005215B0">
      <w:pPr>
        <w:spacing w:line="360" w:lineRule="auto"/>
        <w:rPr>
          <w:b/>
          <w:bCs/>
          <w:lang w:val="en-GB"/>
        </w:rPr>
        <w:sectPr w:rsidR="005215B0" w:rsidSect="005215B0">
          <w:pgSz w:w="16838" w:h="11906" w:orient="landscape"/>
          <w:pgMar w:top="1418" w:right="1418" w:bottom="1418" w:left="1134" w:header="709" w:footer="709" w:gutter="0"/>
          <w:lnNumType w:countBy="1" w:restart="continuous"/>
          <w:cols w:space="708"/>
          <w:docGrid w:linePitch="360"/>
        </w:sectPr>
      </w:pPr>
    </w:p>
    <w:p w14:paraId="4DF13A13" w14:textId="77777777" w:rsidR="005215B0" w:rsidRDefault="005215B0" w:rsidP="005215B0">
      <w:pPr>
        <w:rPr>
          <w:lang w:val="en-GB"/>
        </w:rPr>
      </w:pPr>
      <w:r w:rsidRPr="00A629F0">
        <w:rPr>
          <w:b/>
          <w:bCs/>
          <w:lang w:val="en-GB"/>
        </w:rPr>
        <w:lastRenderedPageBreak/>
        <w:t>Table 2</w:t>
      </w:r>
      <w:r w:rsidRPr="00A629F0">
        <w:rPr>
          <w:lang w:val="en-GB"/>
        </w:rPr>
        <w:t xml:space="preserve"> - Distribution of emergency dispatch categories among 627 cases </w:t>
      </w:r>
    </w:p>
    <w:tbl>
      <w:tblPr>
        <w:tblW w:w="5480" w:type="dxa"/>
        <w:jc w:val="center"/>
        <w:tblLook w:val="04A0" w:firstRow="1" w:lastRow="0" w:firstColumn="1" w:lastColumn="0" w:noHBand="0" w:noVBand="1"/>
      </w:tblPr>
      <w:tblGrid>
        <w:gridCol w:w="3560"/>
        <w:gridCol w:w="960"/>
        <w:gridCol w:w="998"/>
      </w:tblGrid>
      <w:tr w:rsidR="005215B0" w:rsidRPr="00111F1E" w14:paraId="62D6FA6A" w14:textId="77777777" w:rsidTr="00D626CC">
        <w:trPr>
          <w:trHeight w:val="300"/>
          <w:jc w:val="center"/>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3A4DDCA0" w14:textId="77777777" w:rsidR="005215B0" w:rsidRPr="00111F1E" w:rsidRDefault="005215B0" w:rsidP="00D626CC">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Dispatch catgory</w:t>
            </w:r>
          </w:p>
        </w:tc>
        <w:tc>
          <w:tcPr>
            <w:tcW w:w="960" w:type="dxa"/>
            <w:tcBorders>
              <w:top w:val="single" w:sz="4" w:space="0" w:color="auto"/>
              <w:left w:val="nil"/>
              <w:bottom w:val="single" w:sz="4" w:space="0" w:color="auto"/>
              <w:right w:val="single" w:sz="4" w:space="0" w:color="auto"/>
            </w:tcBorders>
            <w:noWrap/>
            <w:vAlign w:val="bottom"/>
            <w:hideMark/>
          </w:tcPr>
          <w:p w14:paraId="5815BD7E" w14:textId="77777777" w:rsidR="005215B0" w:rsidRPr="00111F1E" w:rsidRDefault="005215B0" w:rsidP="00D626CC">
            <w:pPr>
              <w:spacing w:after="0" w:line="240" w:lineRule="auto"/>
              <w:jc w:val="center"/>
              <w:rPr>
                <w:rFonts w:ascii="Aptos Narrow" w:eastAsia="Times New Roman" w:hAnsi="Aptos Narrow" w:cs="Times New Roman"/>
                <w:b/>
                <w:bCs/>
                <w:color w:val="000000"/>
              </w:rPr>
            </w:pPr>
            <w:r w:rsidRPr="00111F1E">
              <w:rPr>
                <w:rFonts w:ascii="Aptos Narrow" w:eastAsia="Times New Roman" w:hAnsi="Aptos Narrow" w:cs="Times New Roman"/>
                <w:b/>
                <w:bCs/>
                <w:color w:val="000000"/>
              </w:rPr>
              <w:t>n</w:t>
            </w:r>
          </w:p>
        </w:tc>
        <w:tc>
          <w:tcPr>
            <w:tcW w:w="960" w:type="dxa"/>
            <w:tcBorders>
              <w:top w:val="single" w:sz="4" w:space="0" w:color="auto"/>
              <w:left w:val="nil"/>
              <w:bottom w:val="single" w:sz="4" w:space="0" w:color="auto"/>
              <w:right w:val="single" w:sz="4" w:space="0" w:color="auto"/>
            </w:tcBorders>
            <w:noWrap/>
            <w:vAlign w:val="bottom"/>
            <w:hideMark/>
          </w:tcPr>
          <w:p w14:paraId="55135CAB" w14:textId="77777777" w:rsidR="005215B0" w:rsidRPr="00111F1E" w:rsidRDefault="005215B0" w:rsidP="00D626CC">
            <w:pPr>
              <w:spacing w:after="0" w:line="240" w:lineRule="auto"/>
              <w:jc w:val="center"/>
              <w:rPr>
                <w:rFonts w:ascii="Aptos Narrow" w:eastAsia="Times New Roman" w:hAnsi="Aptos Narrow" w:cs="Times New Roman"/>
                <w:b/>
                <w:bCs/>
                <w:color w:val="000000"/>
              </w:rPr>
            </w:pPr>
            <w:r w:rsidRPr="00111F1E">
              <w:rPr>
                <w:rFonts w:ascii="Aptos Narrow" w:eastAsia="Times New Roman" w:hAnsi="Aptos Narrow" w:cs="Times New Roman"/>
                <w:b/>
                <w:bCs/>
                <w:color w:val="000000"/>
              </w:rPr>
              <w:t>n (%)</w:t>
            </w:r>
          </w:p>
        </w:tc>
      </w:tr>
      <w:tr w:rsidR="005215B0" w:rsidRPr="00111F1E" w14:paraId="23977203"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6C519CBB"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Neurological</w:t>
            </w:r>
          </w:p>
        </w:tc>
        <w:tc>
          <w:tcPr>
            <w:tcW w:w="960" w:type="dxa"/>
            <w:tcBorders>
              <w:top w:val="nil"/>
              <w:left w:val="nil"/>
              <w:bottom w:val="single" w:sz="4" w:space="0" w:color="auto"/>
              <w:right w:val="single" w:sz="4" w:space="0" w:color="auto"/>
            </w:tcBorders>
            <w:noWrap/>
            <w:vAlign w:val="bottom"/>
            <w:hideMark/>
          </w:tcPr>
          <w:p w14:paraId="11F6A52D"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223</w:t>
            </w:r>
          </w:p>
        </w:tc>
        <w:tc>
          <w:tcPr>
            <w:tcW w:w="960" w:type="dxa"/>
            <w:tcBorders>
              <w:top w:val="nil"/>
              <w:left w:val="nil"/>
              <w:bottom w:val="single" w:sz="4" w:space="0" w:color="auto"/>
              <w:right w:val="single" w:sz="4" w:space="0" w:color="auto"/>
            </w:tcBorders>
            <w:noWrap/>
            <w:vAlign w:val="bottom"/>
            <w:hideMark/>
          </w:tcPr>
          <w:p w14:paraId="3E2B70E9"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35,57%</w:t>
            </w:r>
          </w:p>
        </w:tc>
      </w:tr>
      <w:tr w:rsidR="005215B0" w:rsidRPr="00111F1E" w14:paraId="319C88C2"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03FDAEFE" w14:textId="77777777" w:rsidR="005215B0" w:rsidRPr="00111F1E" w:rsidRDefault="005215B0" w:rsidP="00D626CC">
            <w:pPr>
              <w:spacing w:after="0" w:line="240" w:lineRule="auto"/>
              <w:rPr>
                <w:rFonts w:ascii="Aptos Narrow" w:eastAsia="Times New Roman" w:hAnsi="Aptos Narrow" w:cs="Times New Roman"/>
                <w:color w:val="000000"/>
              </w:rPr>
            </w:pPr>
            <w:r w:rsidRPr="00111F1E">
              <w:rPr>
                <w:rFonts w:ascii="Aptos Narrow" w:eastAsia="Times New Roman" w:hAnsi="Aptos Narrow" w:cs="Times New Roman"/>
                <w:color w:val="000000"/>
              </w:rPr>
              <w:t>Trauma</w:t>
            </w:r>
          </w:p>
        </w:tc>
        <w:tc>
          <w:tcPr>
            <w:tcW w:w="960" w:type="dxa"/>
            <w:tcBorders>
              <w:top w:val="nil"/>
              <w:left w:val="nil"/>
              <w:bottom w:val="single" w:sz="4" w:space="0" w:color="auto"/>
              <w:right w:val="single" w:sz="4" w:space="0" w:color="auto"/>
            </w:tcBorders>
            <w:noWrap/>
            <w:vAlign w:val="bottom"/>
            <w:hideMark/>
          </w:tcPr>
          <w:p w14:paraId="362EE7D8"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137</w:t>
            </w:r>
          </w:p>
        </w:tc>
        <w:tc>
          <w:tcPr>
            <w:tcW w:w="960" w:type="dxa"/>
            <w:tcBorders>
              <w:top w:val="nil"/>
              <w:left w:val="nil"/>
              <w:bottom w:val="single" w:sz="4" w:space="0" w:color="auto"/>
              <w:right w:val="single" w:sz="4" w:space="0" w:color="auto"/>
            </w:tcBorders>
            <w:noWrap/>
            <w:vAlign w:val="bottom"/>
            <w:hideMark/>
          </w:tcPr>
          <w:p w14:paraId="40810B55"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21,85%</w:t>
            </w:r>
          </w:p>
        </w:tc>
      </w:tr>
      <w:tr w:rsidR="005215B0" w:rsidRPr="00111F1E" w14:paraId="79B60714"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5D373BE3"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Respiratory</w:t>
            </w:r>
          </w:p>
        </w:tc>
        <w:tc>
          <w:tcPr>
            <w:tcW w:w="960" w:type="dxa"/>
            <w:tcBorders>
              <w:top w:val="nil"/>
              <w:left w:val="nil"/>
              <w:bottom w:val="single" w:sz="4" w:space="0" w:color="auto"/>
              <w:right w:val="single" w:sz="4" w:space="0" w:color="auto"/>
            </w:tcBorders>
            <w:noWrap/>
            <w:vAlign w:val="bottom"/>
            <w:hideMark/>
          </w:tcPr>
          <w:p w14:paraId="2B016342"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133</w:t>
            </w:r>
          </w:p>
        </w:tc>
        <w:tc>
          <w:tcPr>
            <w:tcW w:w="960" w:type="dxa"/>
            <w:tcBorders>
              <w:top w:val="nil"/>
              <w:left w:val="nil"/>
              <w:bottom w:val="single" w:sz="4" w:space="0" w:color="auto"/>
              <w:right w:val="single" w:sz="4" w:space="0" w:color="auto"/>
            </w:tcBorders>
            <w:noWrap/>
            <w:vAlign w:val="bottom"/>
            <w:hideMark/>
          </w:tcPr>
          <w:p w14:paraId="6F49B51D"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21,21%</w:t>
            </w:r>
          </w:p>
        </w:tc>
      </w:tr>
      <w:tr w:rsidR="005215B0" w:rsidRPr="00111F1E" w14:paraId="12E7EC91"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573A79AF"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Infectious diseases</w:t>
            </w:r>
          </w:p>
        </w:tc>
        <w:tc>
          <w:tcPr>
            <w:tcW w:w="960" w:type="dxa"/>
            <w:tcBorders>
              <w:top w:val="nil"/>
              <w:left w:val="nil"/>
              <w:bottom w:val="single" w:sz="4" w:space="0" w:color="auto"/>
              <w:right w:val="single" w:sz="4" w:space="0" w:color="auto"/>
            </w:tcBorders>
            <w:noWrap/>
            <w:vAlign w:val="bottom"/>
            <w:hideMark/>
          </w:tcPr>
          <w:p w14:paraId="795B0C4E"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31</w:t>
            </w:r>
          </w:p>
        </w:tc>
        <w:tc>
          <w:tcPr>
            <w:tcW w:w="960" w:type="dxa"/>
            <w:tcBorders>
              <w:top w:val="nil"/>
              <w:left w:val="nil"/>
              <w:bottom w:val="single" w:sz="4" w:space="0" w:color="auto"/>
              <w:right w:val="single" w:sz="4" w:space="0" w:color="auto"/>
            </w:tcBorders>
            <w:noWrap/>
            <w:vAlign w:val="bottom"/>
            <w:hideMark/>
          </w:tcPr>
          <w:p w14:paraId="34F41575"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4,94%</w:t>
            </w:r>
          </w:p>
        </w:tc>
      </w:tr>
      <w:tr w:rsidR="005215B0" w:rsidRPr="00111F1E" w14:paraId="6117B15D"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666B3FF4"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Allergy / Anaphylaxis</w:t>
            </w:r>
          </w:p>
        </w:tc>
        <w:tc>
          <w:tcPr>
            <w:tcW w:w="960" w:type="dxa"/>
            <w:tcBorders>
              <w:top w:val="nil"/>
              <w:left w:val="nil"/>
              <w:bottom w:val="single" w:sz="4" w:space="0" w:color="auto"/>
              <w:right w:val="single" w:sz="4" w:space="0" w:color="auto"/>
            </w:tcBorders>
            <w:noWrap/>
            <w:vAlign w:val="bottom"/>
            <w:hideMark/>
          </w:tcPr>
          <w:p w14:paraId="3B816635"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23</w:t>
            </w:r>
          </w:p>
        </w:tc>
        <w:tc>
          <w:tcPr>
            <w:tcW w:w="960" w:type="dxa"/>
            <w:tcBorders>
              <w:top w:val="nil"/>
              <w:left w:val="nil"/>
              <w:bottom w:val="single" w:sz="4" w:space="0" w:color="auto"/>
              <w:right w:val="single" w:sz="4" w:space="0" w:color="auto"/>
            </w:tcBorders>
            <w:noWrap/>
            <w:vAlign w:val="bottom"/>
            <w:hideMark/>
          </w:tcPr>
          <w:p w14:paraId="6E3ACEAD"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3,67%</w:t>
            </w:r>
          </w:p>
        </w:tc>
      </w:tr>
      <w:tr w:rsidR="005215B0" w:rsidRPr="00111F1E" w14:paraId="7B5A8C6D"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64FC39FD"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Delivery / Childbirth</w:t>
            </w:r>
          </w:p>
        </w:tc>
        <w:tc>
          <w:tcPr>
            <w:tcW w:w="960" w:type="dxa"/>
            <w:tcBorders>
              <w:top w:val="nil"/>
              <w:left w:val="nil"/>
              <w:bottom w:val="single" w:sz="4" w:space="0" w:color="auto"/>
              <w:right w:val="single" w:sz="4" w:space="0" w:color="auto"/>
            </w:tcBorders>
            <w:noWrap/>
            <w:vAlign w:val="bottom"/>
            <w:hideMark/>
          </w:tcPr>
          <w:p w14:paraId="3B498CC1"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21</w:t>
            </w:r>
          </w:p>
        </w:tc>
        <w:tc>
          <w:tcPr>
            <w:tcW w:w="960" w:type="dxa"/>
            <w:tcBorders>
              <w:top w:val="nil"/>
              <w:left w:val="nil"/>
              <w:bottom w:val="single" w:sz="4" w:space="0" w:color="auto"/>
              <w:right w:val="single" w:sz="4" w:space="0" w:color="auto"/>
            </w:tcBorders>
            <w:noWrap/>
            <w:vAlign w:val="bottom"/>
            <w:hideMark/>
          </w:tcPr>
          <w:p w14:paraId="0FA9ACE5"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3,35%</w:t>
            </w:r>
          </w:p>
        </w:tc>
      </w:tr>
      <w:tr w:rsidR="005215B0" w:rsidRPr="00111F1E" w14:paraId="30C6A647"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5BCA3D7D"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Other</w:t>
            </w:r>
          </w:p>
        </w:tc>
        <w:tc>
          <w:tcPr>
            <w:tcW w:w="960" w:type="dxa"/>
            <w:tcBorders>
              <w:top w:val="nil"/>
              <w:left w:val="nil"/>
              <w:bottom w:val="single" w:sz="4" w:space="0" w:color="auto"/>
              <w:right w:val="single" w:sz="4" w:space="0" w:color="auto"/>
            </w:tcBorders>
            <w:noWrap/>
            <w:vAlign w:val="bottom"/>
            <w:hideMark/>
          </w:tcPr>
          <w:p w14:paraId="78A5C30B"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14</w:t>
            </w:r>
          </w:p>
        </w:tc>
        <w:tc>
          <w:tcPr>
            <w:tcW w:w="960" w:type="dxa"/>
            <w:tcBorders>
              <w:top w:val="nil"/>
              <w:left w:val="nil"/>
              <w:bottom w:val="single" w:sz="4" w:space="0" w:color="auto"/>
              <w:right w:val="single" w:sz="4" w:space="0" w:color="auto"/>
            </w:tcBorders>
            <w:noWrap/>
            <w:vAlign w:val="bottom"/>
            <w:hideMark/>
          </w:tcPr>
          <w:p w14:paraId="0A3866A6"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2,23%</w:t>
            </w:r>
          </w:p>
        </w:tc>
      </w:tr>
      <w:tr w:rsidR="005215B0" w:rsidRPr="00111F1E" w14:paraId="4848551E"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4FE5BF91" w14:textId="77777777" w:rsidR="005215B0" w:rsidRPr="00111F1E" w:rsidRDefault="005215B0" w:rsidP="00D626CC">
            <w:pPr>
              <w:spacing w:after="0" w:line="240" w:lineRule="auto"/>
              <w:rPr>
                <w:rFonts w:ascii="Aptos Narrow" w:eastAsia="Times New Roman" w:hAnsi="Aptos Narrow" w:cs="Times New Roman"/>
                <w:color w:val="000000"/>
              </w:rPr>
            </w:pPr>
            <w:r w:rsidRPr="00111F1E">
              <w:rPr>
                <w:rFonts w:ascii="Aptos Narrow" w:eastAsia="Times New Roman" w:hAnsi="Aptos Narrow" w:cs="Times New Roman"/>
                <w:color w:val="000000"/>
              </w:rPr>
              <w:t>BRUE</w:t>
            </w:r>
          </w:p>
        </w:tc>
        <w:tc>
          <w:tcPr>
            <w:tcW w:w="960" w:type="dxa"/>
            <w:tcBorders>
              <w:top w:val="nil"/>
              <w:left w:val="nil"/>
              <w:bottom w:val="single" w:sz="4" w:space="0" w:color="auto"/>
              <w:right w:val="single" w:sz="4" w:space="0" w:color="auto"/>
            </w:tcBorders>
            <w:noWrap/>
            <w:vAlign w:val="bottom"/>
            <w:hideMark/>
          </w:tcPr>
          <w:p w14:paraId="3BF30C58"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13</w:t>
            </w:r>
          </w:p>
        </w:tc>
        <w:tc>
          <w:tcPr>
            <w:tcW w:w="960" w:type="dxa"/>
            <w:tcBorders>
              <w:top w:val="nil"/>
              <w:left w:val="nil"/>
              <w:bottom w:val="single" w:sz="4" w:space="0" w:color="auto"/>
              <w:right w:val="single" w:sz="4" w:space="0" w:color="auto"/>
            </w:tcBorders>
            <w:noWrap/>
            <w:vAlign w:val="bottom"/>
            <w:hideMark/>
          </w:tcPr>
          <w:p w14:paraId="762D70AB"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2,07%</w:t>
            </w:r>
          </w:p>
        </w:tc>
      </w:tr>
      <w:tr w:rsidR="005215B0" w:rsidRPr="00111F1E" w14:paraId="63116F47"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19F649A0"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Intoxication</w:t>
            </w:r>
          </w:p>
        </w:tc>
        <w:tc>
          <w:tcPr>
            <w:tcW w:w="960" w:type="dxa"/>
            <w:tcBorders>
              <w:top w:val="nil"/>
              <w:left w:val="nil"/>
              <w:bottom w:val="single" w:sz="4" w:space="0" w:color="auto"/>
              <w:right w:val="single" w:sz="4" w:space="0" w:color="auto"/>
            </w:tcBorders>
            <w:noWrap/>
            <w:vAlign w:val="bottom"/>
            <w:hideMark/>
          </w:tcPr>
          <w:p w14:paraId="18733DEB"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8</w:t>
            </w:r>
          </w:p>
        </w:tc>
        <w:tc>
          <w:tcPr>
            <w:tcW w:w="960" w:type="dxa"/>
            <w:tcBorders>
              <w:top w:val="nil"/>
              <w:left w:val="nil"/>
              <w:bottom w:val="single" w:sz="4" w:space="0" w:color="auto"/>
              <w:right w:val="single" w:sz="4" w:space="0" w:color="auto"/>
            </w:tcBorders>
            <w:noWrap/>
            <w:vAlign w:val="bottom"/>
            <w:hideMark/>
          </w:tcPr>
          <w:p w14:paraId="181B1C17"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1,28%</w:t>
            </w:r>
          </w:p>
        </w:tc>
      </w:tr>
      <w:tr w:rsidR="005215B0" w:rsidRPr="00111F1E" w14:paraId="436F709C"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2EE6D73A" w14:textId="77777777" w:rsidR="005215B0" w:rsidRPr="00111F1E" w:rsidRDefault="005215B0" w:rsidP="00D626CC">
            <w:pPr>
              <w:spacing w:after="0" w:line="240" w:lineRule="auto"/>
              <w:rPr>
                <w:rFonts w:ascii="Aptos Narrow" w:eastAsia="Times New Roman" w:hAnsi="Aptos Narrow" w:cs="Times New Roman"/>
                <w:color w:val="000000"/>
              </w:rPr>
            </w:pPr>
            <w:r w:rsidRPr="00111F1E">
              <w:rPr>
                <w:rFonts w:ascii="Aptos Narrow" w:eastAsia="Times New Roman" w:hAnsi="Aptos Narrow" w:cs="Times New Roman"/>
                <w:color w:val="000000"/>
              </w:rPr>
              <w:t>R</w:t>
            </w:r>
            <w:r>
              <w:rPr>
                <w:rFonts w:ascii="Aptos Narrow" w:eastAsia="Times New Roman" w:hAnsi="Aptos Narrow" w:cs="Times New Roman"/>
                <w:color w:val="000000"/>
              </w:rPr>
              <w:t>esuscitation</w:t>
            </w:r>
            <w:r w:rsidRPr="00111F1E">
              <w:rPr>
                <w:rFonts w:ascii="Aptos Narrow" w:eastAsia="Times New Roman" w:hAnsi="Aptos Narrow" w:cs="Times New Roman"/>
                <w:color w:val="000000"/>
              </w:rPr>
              <w:t xml:space="preserve"> / SIDS</w:t>
            </w:r>
          </w:p>
        </w:tc>
        <w:tc>
          <w:tcPr>
            <w:tcW w:w="960" w:type="dxa"/>
            <w:tcBorders>
              <w:top w:val="nil"/>
              <w:left w:val="nil"/>
              <w:bottom w:val="single" w:sz="4" w:space="0" w:color="auto"/>
              <w:right w:val="single" w:sz="4" w:space="0" w:color="auto"/>
            </w:tcBorders>
            <w:noWrap/>
            <w:vAlign w:val="bottom"/>
            <w:hideMark/>
          </w:tcPr>
          <w:p w14:paraId="68DB9D24"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10</w:t>
            </w:r>
          </w:p>
        </w:tc>
        <w:tc>
          <w:tcPr>
            <w:tcW w:w="960" w:type="dxa"/>
            <w:tcBorders>
              <w:top w:val="nil"/>
              <w:left w:val="nil"/>
              <w:bottom w:val="single" w:sz="4" w:space="0" w:color="auto"/>
              <w:right w:val="single" w:sz="4" w:space="0" w:color="auto"/>
            </w:tcBorders>
            <w:noWrap/>
            <w:vAlign w:val="bottom"/>
            <w:hideMark/>
          </w:tcPr>
          <w:p w14:paraId="4C285C72"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1,59%</w:t>
            </w:r>
          </w:p>
        </w:tc>
      </w:tr>
      <w:tr w:rsidR="005215B0" w:rsidRPr="00111F1E" w14:paraId="7DA4B9ED"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253FD96E"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Cardiac</w:t>
            </w:r>
          </w:p>
        </w:tc>
        <w:tc>
          <w:tcPr>
            <w:tcW w:w="960" w:type="dxa"/>
            <w:tcBorders>
              <w:top w:val="nil"/>
              <w:left w:val="nil"/>
              <w:bottom w:val="single" w:sz="4" w:space="0" w:color="auto"/>
              <w:right w:val="single" w:sz="4" w:space="0" w:color="auto"/>
            </w:tcBorders>
            <w:noWrap/>
            <w:vAlign w:val="bottom"/>
            <w:hideMark/>
          </w:tcPr>
          <w:p w14:paraId="1D8512C0"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6</w:t>
            </w:r>
          </w:p>
        </w:tc>
        <w:tc>
          <w:tcPr>
            <w:tcW w:w="960" w:type="dxa"/>
            <w:tcBorders>
              <w:top w:val="nil"/>
              <w:left w:val="nil"/>
              <w:bottom w:val="single" w:sz="4" w:space="0" w:color="auto"/>
              <w:right w:val="single" w:sz="4" w:space="0" w:color="auto"/>
            </w:tcBorders>
            <w:noWrap/>
            <w:vAlign w:val="bottom"/>
            <w:hideMark/>
          </w:tcPr>
          <w:p w14:paraId="152D15A9"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0,96%</w:t>
            </w:r>
          </w:p>
        </w:tc>
      </w:tr>
      <w:tr w:rsidR="005215B0" w:rsidRPr="00111F1E" w14:paraId="725D3EB9"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337DA884" w14:textId="77777777" w:rsidR="005215B0" w:rsidRPr="00111F1E" w:rsidRDefault="005215B0" w:rsidP="00D626CC">
            <w:pPr>
              <w:spacing w:after="0" w:line="240" w:lineRule="auto"/>
              <w:rPr>
                <w:rFonts w:ascii="Aptos Narrow" w:eastAsia="Times New Roman" w:hAnsi="Aptos Narrow" w:cs="Times New Roman"/>
                <w:color w:val="000000"/>
              </w:rPr>
            </w:pPr>
            <w:r w:rsidRPr="00111F1E">
              <w:rPr>
                <w:rFonts w:ascii="Aptos Narrow" w:eastAsia="Times New Roman" w:hAnsi="Aptos Narrow" w:cs="Times New Roman"/>
                <w:color w:val="000000"/>
              </w:rPr>
              <w:t>Metaboli</w:t>
            </w:r>
            <w:r>
              <w:rPr>
                <w:rFonts w:ascii="Aptos Narrow" w:eastAsia="Times New Roman" w:hAnsi="Aptos Narrow" w:cs="Times New Roman"/>
                <w:color w:val="000000"/>
              </w:rPr>
              <w:t>c</w:t>
            </w:r>
          </w:p>
        </w:tc>
        <w:tc>
          <w:tcPr>
            <w:tcW w:w="960" w:type="dxa"/>
            <w:tcBorders>
              <w:top w:val="nil"/>
              <w:left w:val="nil"/>
              <w:bottom w:val="single" w:sz="4" w:space="0" w:color="auto"/>
              <w:right w:val="single" w:sz="4" w:space="0" w:color="auto"/>
            </w:tcBorders>
            <w:noWrap/>
            <w:vAlign w:val="bottom"/>
            <w:hideMark/>
          </w:tcPr>
          <w:p w14:paraId="76B6ADAF"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4</w:t>
            </w:r>
          </w:p>
        </w:tc>
        <w:tc>
          <w:tcPr>
            <w:tcW w:w="960" w:type="dxa"/>
            <w:tcBorders>
              <w:top w:val="nil"/>
              <w:left w:val="nil"/>
              <w:bottom w:val="single" w:sz="4" w:space="0" w:color="auto"/>
              <w:right w:val="single" w:sz="4" w:space="0" w:color="auto"/>
            </w:tcBorders>
            <w:noWrap/>
            <w:vAlign w:val="bottom"/>
            <w:hideMark/>
          </w:tcPr>
          <w:p w14:paraId="59321BB1"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0,64%</w:t>
            </w:r>
          </w:p>
        </w:tc>
      </w:tr>
      <w:tr w:rsidR="005215B0" w:rsidRPr="00111F1E" w14:paraId="121DF77F"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7E3C2ED9" w14:textId="77777777" w:rsidR="005215B0" w:rsidRPr="00111F1E" w:rsidRDefault="005215B0" w:rsidP="00D626CC">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Psychiatric</w:t>
            </w:r>
          </w:p>
        </w:tc>
        <w:tc>
          <w:tcPr>
            <w:tcW w:w="960" w:type="dxa"/>
            <w:tcBorders>
              <w:top w:val="nil"/>
              <w:left w:val="nil"/>
              <w:bottom w:val="single" w:sz="4" w:space="0" w:color="auto"/>
              <w:right w:val="single" w:sz="4" w:space="0" w:color="auto"/>
            </w:tcBorders>
            <w:noWrap/>
            <w:vAlign w:val="bottom"/>
            <w:hideMark/>
          </w:tcPr>
          <w:p w14:paraId="65DE2D8C"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4</w:t>
            </w:r>
          </w:p>
        </w:tc>
        <w:tc>
          <w:tcPr>
            <w:tcW w:w="960" w:type="dxa"/>
            <w:tcBorders>
              <w:top w:val="nil"/>
              <w:left w:val="nil"/>
              <w:bottom w:val="single" w:sz="4" w:space="0" w:color="auto"/>
              <w:right w:val="single" w:sz="4" w:space="0" w:color="auto"/>
            </w:tcBorders>
            <w:noWrap/>
            <w:vAlign w:val="bottom"/>
            <w:hideMark/>
          </w:tcPr>
          <w:p w14:paraId="1786314C" w14:textId="77777777" w:rsidR="005215B0" w:rsidRPr="00111F1E" w:rsidRDefault="005215B0" w:rsidP="00D626CC">
            <w:pPr>
              <w:spacing w:after="0" w:line="240" w:lineRule="auto"/>
              <w:jc w:val="center"/>
              <w:rPr>
                <w:rFonts w:ascii="Aptos Narrow" w:eastAsia="Times New Roman" w:hAnsi="Aptos Narrow" w:cs="Times New Roman"/>
                <w:color w:val="000000"/>
              </w:rPr>
            </w:pPr>
            <w:r w:rsidRPr="00111F1E">
              <w:rPr>
                <w:rFonts w:ascii="Aptos Narrow" w:eastAsia="Times New Roman" w:hAnsi="Aptos Narrow" w:cs="Times New Roman"/>
                <w:color w:val="000000"/>
              </w:rPr>
              <w:t>0,64%</w:t>
            </w:r>
          </w:p>
        </w:tc>
      </w:tr>
      <w:tr w:rsidR="005215B0" w:rsidRPr="00111F1E" w14:paraId="43FA433B" w14:textId="77777777" w:rsidTr="00D626CC">
        <w:trPr>
          <w:trHeight w:val="300"/>
          <w:jc w:val="center"/>
        </w:trPr>
        <w:tc>
          <w:tcPr>
            <w:tcW w:w="3560" w:type="dxa"/>
            <w:tcBorders>
              <w:top w:val="nil"/>
              <w:left w:val="single" w:sz="4" w:space="0" w:color="auto"/>
              <w:bottom w:val="single" w:sz="4" w:space="0" w:color="auto"/>
              <w:right w:val="single" w:sz="4" w:space="0" w:color="auto"/>
            </w:tcBorders>
            <w:noWrap/>
            <w:vAlign w:val="bottom"/>
            <w:hideMark/>
          </w:tcPr>
          <w:p w14:paraId="22AC702C" w14:textId="77777777" w:rsidR="005215B0" w:rsidRPr="00111F1E" w:rsidRDefault="005215B0" w:rsidP="00D626CC">
            <w:pPr>
              <w:spacing w:after="0" w:line="240" w:lineRule="auto"/>
              <w:rPr>
                <w:rFonts w:ascii="Aptos Narrow" w:eastAsia="Times New Roman" w:hAnsi="Aptos Narrow" w:cs="Times New Roman"/>
                <w:b/>
                <w:bCs/>
                <w:color w:val="000000"/>
              </w:rPr>
            </w:pPr>
            <w:r w:rsidRPr="00111F1E">
              <w:rPr>
                <w:rFonts w:ascii="Aptos Narrow" w:eastAsia="Times New Roman" w:hAnsi="Aptos Narrow" w:cs="Times New Roman"/>
                <w:b/>
                <w:bCs/>
                <w:color w:val="000000"/>
              </w:rPr>
              <w:t>TOTAL</w:t>
            </w:r>
          </w:p>
        </w:tc>
        <w:tc>
          <w:tcPr>
            <w:tcW w:w="960" w:type="dxa"/>
            <w:tcBorders>
              <w:top w:val="nil"/>
              <w:left w:val="nil"/>
              <w:bottom w:val="single" w:sz="4" w:space="0" w:color="auto"/>
              <w:right w:val="single" w:sz="4" w:space="0" w:color="auto"/>
            </w:tcBorders>
            <w:noWrap/>
            <w:vAlign w:val="bottom"/>
            <w:hideMark/>
          </w:tcPr>
          <w:p w14:paraId="4C5801D4" w14:textId="77777777" w:rsidR="005215B0" w:rsidRPr="00111F1E" w:rsidRDefault="005215B0" w:rsidP="00D626CC">
            <w:pPr>
              <w:spacing w:after="0" w:line="240" w:lineRule="auto"/>
              <w:jc w:val="center"/>
              <w:rPr>
                <w:rFonts w:ascii="Aptos Narrow" w:eastAsia="Times New Roman" w:hAnsi="Aptos Narrow" w:cs="Times New Roman"/>
                <w:b/>
                <w:bCs/>
                <w:color w:val="000000"/>
              </w:rPr>
            </w:pPr>
            <w:r w:rsidRPr="00111F1E">
              <w:rPr>
                <w:rFonts w:ascii="Aptos Narrow" w:eastAsia="Times New Roman" w:hAnsi="Aptos Narrow" w:cs="Times New Roman"/>
                <w:b/>
                <w:bCs/>
                <w:color w:val="000000"/>
              </w:rPr>
              <w:t>627</w:t>
            </w:r>
          </w:p>
        </w:tc>
        <w:tc>
          <w:tcPr>
            <w:tcW w:w="960" w:type="dxa"/>
            <w:tcBorders>
              <w:top w:val="nil"/>
              <w:left w:val="nil"/>
              <w:bottom w:val="single" w:sz="4" w:space="0" w:color="auto"/>
              <w:right w:val="single" w:sz="4" w:space="0" w:color="auto"/>
            </w:tcBorders>
            <w:noWrap/>
            <w:vAlign w:val="bottom"/>
            <w:hideMark/>
          </w:tcPr>
          <w:p w14:paraId="674B048B" w14:textId="77777777" w:rsidR="005215B0" w:rsidRPr="00111F1E" w:rsidRDefault="005215B0" w:rsidP="00D626CC">
            <w:pPr>
              <w:spacing w:after="0" w:line="240" w:lineRule="auto"/>
              <w:jc w:val="center"/>
              <w:rPr>
                <w:rFonts w:ascii="Aptos Narrow" w:eastAsia="Times New Roman" w:hAnsi="Aptos Narrow" w:cs="Times New Roman"/>
                <w:b/>
                <w:bCs/>
                <w:color w:val="000000"/>
              </w:rPr>
            </w:pPr>
            <w:r w:rsidRPr="00111F1E">
              <w:rPr>
                <w:rFonts w:ascii="Aptos Narrow" w:eastAsia="Times New Roman" w:hAnsi="Aptos Narrow" w:cs="Times New Roman"/>
                <w:b/>
                <w:bCs/>
                <w:color w:val="000000"/>
              </w:rPr>
              <w:t>100,00%</w:t>
            </w:r>
          </w:p>
        </w:tc>
      </w:tr>
    </w:tbl>
    <w:p w14:paraId="72F1F623" w14:textId="77777777" w:rsidR="005215B0" w:rsidRDefault="005215B0" w:rsidP="005215B0">
      <w:pPr>
        <w:rPr>
          <w:lang w:val="en-GB"/>
        </w:rPr>
      </w:pPr>
    </w:p>
    <w:p w14:paraId="477C9666" w14:textId="77777777" w:rsidR="005215B0" w:rsidRPr="00BD3C9A" w:rsidRDefault="005215B0" w:rsidP="005215B0">
      <w:pPr>
        <w:rPr>
          <w:lang w:val="en-GB"/>
        </w:rPr>
      </w:pPr>
      <w:r w:rsidRPr="00A629F0">
        <w:rPr>
          <w:b/>
          <w:bCs/>
          <w:lang w:val="en-GB"/>
        </w:rPr>
        <w:t>Figure 1</w:t>
      </w:r>
      <w:r w:rsidRPr="002054C3">
        <w:rPr>
          <w:lang w:val="en-GB"/>
        </w:rPr>
        <w:t xml:space="preserve"> </w:t>
      </w:r>
      <w:r w:rsidRPr="00A629F0">
        <w:rPr>
          <w:lang w:val="en-GB"/>
        </w:rPr>
        <w:t>– Temporal Trends in Questionnaire Capture Rate and Eligible Alarms</w:t>
      </w:r>
    </w:p>
    <w:p w14:paraId="11A2A04C" w14:textId="77777777" w:rsidR="005215B0" w:rsidRPr="00A629F0" w:rsidRDefault="005215B0" w:rsidP="005215B0">
      <w:pPr>
        <w:rPr>
          <w:lang w:val="en-GB"/>
        </w:rPr>
      </w:pPr>
      <w:r>
        <w:rPr>
          <w:noProof/>
        </w:rPr>
        <w:drawing>
          <wp:inline distT="0" distB="0" distL="0" distR="0" wp14:anchorId="3509F800" wp14:editId="5A7BEA45">
            <wp:extent cx="5334000" cy="2705100"/>
            <wp:effectExtent l="0" t="0" r="0" b="0"/>
            <wp:docPr id="1459538825" name="Chart 1">
              <a:extLst xmlns:a="http://schemas.openxmlformats.org/drawingml/2006/main">
                <a:ext uri="{FF2B5EF4-FFF2-40B4-BE49-F238E27FC236}">
                  <a16:creationId xmlns:a16="http://schemas.microsoft.com/office/drawing/2014/main" id="{06B7217C-A4B8-6D35-1040-80B84172D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6EC43E6" w14:textId="77777777" w:rsidR="005215B0" w:rsidRDefault="005215B0" w:rsidP="005215B0">
      <w:pPr>
        <w:rPr>
          <w:b/>
          <w:bCs/>
          <w:lang w:val="en-GB"/>
        </w:rPr>
      </w:pPr>
      <w:r>
        <w:rPr>
          <w:b/>
          <w:bCs/>
          <w:lang w:val="en-GB"/>
        </w:rPr>
        <w:br w:type="page"/>
      </w:r>
    </w:p>
    <w:p w14:paraId="50F5A28C" w14:textId="77777777" w:rsidR="005215B0" w:rsidRPr="00BD3C9A" w:rsidRDefault="005215B0" w:rsidP="005215B0">
      <w:pPr>
        <w:rPr>
          <w:lang w:val="en-GB"/>
        </w:rPr>
      </w:pPr>
      <w:r w:rsidRPr="00A629F0">
        <w:rPr>
          <w:b/>
          <w:bCs/>
          <w:lang w:val="en-GB"/>
        </w:rPr>
        <w:lastRenderedPageBreak/>
        <w:t>Figure 2</w:t>
      </w:r>
      <w:r>
        <w:rPr>
          <w:lang w:val="en-GB"/>
        </w:rPr>
        <w:t xml:space="preserve"> </w:t>
      </w:r>
      <w:r w:rsidRPr="00A629F0">
        <w:rPr>
          <w:lang w:val="en-GB"/>
        </w:rPr>
        <w:t xml:space="preserve">– Telemedicine Assessment Form for </w:t>
      </w:r>
      <w:proofErr w:type="spellStart"/>
      <w:r w:rsidRPr="00A629F0">
        <w:rPr>
          <w:lang w:val="en-GB"/>
        </w:rPr>
        <w:t>Pediatric</w:t>
      </w:r>
      <w:proofErr w:type="spellEnd"/>
      <w:r w:rsidRPr="00A629F0">
        <w:rPr>
          <w:lang w:val="en-GB"/>
        </w:rPr>
        <w:t xml:space="preserve"> Emergency Medical Services</w:t>
      </w:r>
    </w:p>
    <w:p w14:paraId="7A69C673" w14:textId="77777777" w:rsidR="005215B0" w:rsidRPr="0041643E" w:rsidRDefault="005215B0" w:rsidP="005215B0">
      <w:pPr>
        <w:rPr>
          <w:lang w:val="en-GB"/>
        </w:rPr>
      </w:pPr>
      <w:r>
        <w:rPr>
          <w:noProof/>
        </w:rPr>
        <w:drawing>
          <wp:inline distT="0" distB="0" distL="0" distR="0" wp14:anchorId="5ED743D6" wp14:editId="035262BB">
            <wp:extent cx="5731510" cy="8535035"/>
            <wp:effectExtent l="0" t="0" r="2540" b="0"/>
            <wp:docPr id="84951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11464" name=""/>
                    <pic:cNvPicPr/>
                  </pic:nvPicPr>
                  <pic:blipFill>
                    <a:blip r:embed="rId6"/>
                    <a:stretch>
                      <a:fillRect/>
                    </a:stretch>
                  </pic:blipFill>
                  <pic:spPr>
                    <a:xfrm>
                      <a:off x="0" y="0"/>
                      <a:ext cx="5731510" cy="8535035"/>
                    </a:xfrm>
                    <a:prstGeom prst="rect">
                      <a:avLst/>
                    </a:prstGeom>
                  </pic:spPr>
                </pic:pic>
              </a:graphicData>
            </a:graphic>
          </wp:inline>
        </w:drawing>
      </w:r>
      <w:r>
        <w:rPr>
          <w:b/>
          <w:bCs/>
          <w:lang w:val="en-GB"/>
        </w:rPr>
        <w:br w:type="page"/>
      </w:r>
    </w:p>
    <w:p w14:paraId="46EF11B4" w14:textId="77777777" w:rsidR="005215B0" w:rsidRPr="002D6068" w:rsidRDefault="005215B0" w:rsidP="005215B0">
      <w:pPr>
        <w:spacing w:line="360" w:lineRule="auto"/>
        <w:jc w:val="both"/>
        <w:rPr>
          <w:lang w:val="en-GB"/>
        </w:rPr>
      </w:pPr>
      <w:r w:rsidRPr="002D6068">
        <w:rPr>
          <w:b/>
          <w:bCs/>
          <w:lang w:val="en-US"/>
        </w:rPr>
        <w:lastRenderedPageBreak/>
        <w:t xml:space="preserve">Plain Language Title: </w:t>
      </w:r>
      <w:r w:rsidRPr="002D6068">
        <w:rPr>
          <w:lang w:val="en-GB"/>
        </w:rPr>
        <w:t xml:space="preserve">Can remote </w:t>
      </w:r>
      <w:proofErr w:type="spellStart"/>
      <w:r w:rsidRPr="002D6068">
        <w:rPr>
          <w:lang w:val="en-GB"/>
        </w:rPr>
        <w:t>pediatric</w:t>
      </w:r>
      <w:proofErr w:type="spellEnd"/>
      <w:r w:rsidRPr="002D6068">
        <w:rPr>
          <w:lang w:val="en-GB"/>
        </w:rPr>
        <w:t xml:space="preserve"> emergency specialists help ambulance teams care for children before hospital, and reduce the need for a specialist doctor to be physically present at every emergency?</w:t>
      </w:r>
    </w:p>
    <w:p w14:paraId="5C86FDD5" w14:textId="77777777" w:rsidR="005215B0" w:rsidRPr="002D6068" w:rsidRDefault="005215B0" w:rsidP="005215B0">
      <w:pPr>
        <w:spacing w:line="360" w:lineRule="auto"/>
        <w:jc w:val="both"/>
        <w:rPr>
          <w:lang/>
        </w:rPr>
      </w:pPr>
      <w:r w:rsidRPr="002D6068">
        <w:rPr>
          <w:b/>
          <w:bCs/>
          <w:lang w:val="en-GB"/>
        </w:rPr>
        <w:t xml:space="preserve">Plain Language Summary: </w:t>
      </w:r>
      <w:r w:rsidRPr="002D6068">
        <w:rPr>
          <w:lang/>
        </w:rPr>
        <w:t>Children’s emergencies before arrival at hospital are uncommon, but they can be serious and stressful. Because these situations happen rarely, ambulance teams and general emergency doctors may have limited routine experience with very sick children. In some cities, a specialist pediatric emergency doctor can come to the scene, but this resource is limited and may not always be immediately available.</w:t>
      </w:r>
    </w:p>
    <w:p w14:paraId="41C4AD3E" w14:textId="77777777" w:rsidR="005215B0" w:rsidRPr="002D6068" w:rsidRDefault="005215B0" w:rsidP="005215B0">
      <w:pPr>
        <w:spacing w:line="360" w:lineRule="auto"/>
        <w:jc w:val="both"/>
        <w:rPr>
          <w:lang/>
        </w:rPr>
      </w:pPr>
      <w:r w:rsidRPr="002D6068">
        <w:rPr>
          <w:lang/>
        </w:rPr>
        <w:t>This study looked at whether telemedicine could help in these situations. Telemedicine means that a pediatric emergency specialist gives advice remotely, for example by phone or video, instead of being physically present at the scene. The study was carried out in Munich, Germany, between October 2024 and March 2026. After pediatric emergency missions, pediatric emergency doctors, ambulance crews, and regular emergency doctors were asked whether similar care could have been provided with remote specialist support.</w:t>
      </w:r>
    </w:p>
    <w:p w14:paraId="31370DB3" w14:textId="77777777" w:rsidR="005215B0" w:rsidRPr="002D6068" w:rsidRDefault="005215B0" w:rsidP="005215B0">
      <w:pPr>
        <w:spacing w:line="360" w:lineRule="auto"/>
        <w:jc w:val="both"/>
        <w:rPr>
          <w:lang/>
        </w:rPr>
      </w:pPr>
      <w:r w:rsidRPr="002D6068">
        <w:rPr>
          <w:lang/>
        </w:rPr>
        <w:t xml:space="preserve">Questionnaires were returned for 627 of 2733 eligible missions. The most common emergencies were neurological problems, trauma, and breathing problems. Pediatric emergency doctors thought their physical presence was needed in most cases, but they also judged that telemedicine would have been possible in many of them. Overall, </w:t>
      </w:r>
      <w:r>
        <w:rPr>
          <w:lang/>
        </w:rPr>
        <w:t>75.3</w:t>
      </w:r>
      <w:r w:rsidRPr="002D6068">
        <w:rPr>
          <w:lang/>
        </w:rPr>
        <w:t>% of cases were considered suitable for telemedical management. Among children who needed transport, remote supervision during transport was considered possible in 36.9% of transports. Ambulance crews and regular emergency doctors were somewhat less confident than pediatric emergency doctors about using telemedicine.</w:t>
      </w:r>
    </w:p>
    <w:p w14:paraId="28154E44" w14:textId="77777777" w:rsidR="005215B0" w:rsidRPr="002D6068" w:rsidRDefault="005215B0" w:rsidP="005215B0">
      <w:pPr>
        <w:spacing w:line="360" w:lineRule="auto"/>
        <w:jc w:val="both"/>
        <w:rPr>
          <w:lang/>
        </w:rPr>
      </w:pPr>
      <w:r w:rsidRPr="002D6068">
        <w:rPr>
          <w:lang/>
        </w:rPr>
        <w:t>Serious procedures, such as intubation, resuscitation, or intraosseous access, were uncommon, while intravenous access was needed more often. This suggests that telemedicine may help extend pediatric specialist expertise and reduce unnecessary specialist deployment, while still keeping on-site specialists available for the sickest children.</w:t>
      </w:r>
    </w:p>
    <w:p w14:paraId="6958ED66" w14:textId="13B90035" w:rsidR="00A91650" w:rsidRPr="005215B0" w:rsidRDefault="005215B0" w:rsidP="005215B0">
      <w:pPr>
        <w:spacing w:line="360" w:lineRule="auto"/>
        <w:rPr>
          <w:lang w:val="en-US"/>
        </w:rPr>
      </w:pPr>
      <w:r w:rsidRPr="002D6068">
        <w:rPr>
          <w:lang/>
        </w:rPr>
        <w:t>However, the study did not test real telemedicine in practice. It was based on expert judgement after missions, so further studies are needed to assess safety, feasibility, workflow, and patient outcomes.</w:t>
      </w:r>
    </w:p>
    <w:sectPr w:rsidR="00A91650" w:rsidRPr="005215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B0"/>
    <w:rsid w:val="000E2EDD"/>
    <w:rsid w:val="005215B0"/>
    <w:rsid w:val="00787496"/>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FA0A"/>
  <w15:chartTrackingRefBased/>
  <w15:docId w15:val="{2F678CE0-238D-4ACE-B445-F3B43CFF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5B0"/>
    <w:pPr>
      <w:spacing w:line="259" w:lineRule="auto"/>
    </w:pPr>
    <w:rPr>
      <w:kern w:val="0"/>
      <w:sz w:val="22"/>
      <w:szCs w:val="22"/>
      <w:lang w:val="de-DE"/>
      <w14:ligatures w14:val="none"/>
    </w:rPr>
  </w:style>
  <w:style w:type="paragraph" w:styleId="Heading1">
    <w:name w:val="heading 1"/>
    <w:basedOn w:val="Normal"/>
    <w:next w:val="Normal"/>
    <w:link w:val="Heading1Char"/>
    <w:uiPriority w:val="9"/>
    <w:qFormat/>
    <w:rsid w:val="005215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215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215B0"/>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215B0"/>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5215B0"/>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5215B0"/>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5215B0"/>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5215B0"/>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5215B0"/>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1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5B0"/>
    <w:rPr>
      <w:rFonts w:eastAsiaTheme="majorEastAsia" w:cstheme="majorBidi"/>
      <w:color w:val="272727" w:themeColor="text1" w:themeTint="D8"/>
    </w:rPr>
  </w:style>
  <w:style w:type="paragraph" w:styleId="Title">
    <w:name w:val="Title"/>
    <w:basedOn w:val="Normal"/>
    <w:next w:val="Normal"/>
    <w:link w:val="TitleChar"/>
    <w:uiPriority w:val="10"/>
    <w:qFormat/>
    <w:rsid w:val="005215B0"/>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21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5B0"/>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21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5B0"/>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5215B0"/>
    <w:rPr>
      <w:i/>
      <w:iCs/>
      <w:color w:val="404040" w:themeColor="text1" w:themeTint="BF"/>
    </w:rPr>
  </w:style>
  <w:style w:type="paragraph" w:styleId="ListParagraph">
    <w:name w:val="List Paragraph"/>
    <w:basedOn w:val="Normal"/>
    <w:uiPriority w:val="34"/>
    <w:qFormat/>
    <w:rsid w:val="005215B0"/>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5215B0"/>
    <w:rPr>
      <w:i/>
      <w:iCs/>
      <w:color w:val="0F4761" w:themeColor="accent1" w:themeShade="BF"/>
    </w:rPr>
  </w:style>
  <w:style w:type="paragraph" w:styleId="IntenseQuote">
    <w:name w:val="Intense Quote"/>
    <w:basedOn w:val="Normal"/>
    <w:next w:val="Normal"/>
    <w:link w:val="IntenseQuoteChar"/>
    <w:uiPriority w:val="30"/>
    <w:qFormat/>
    <w:rsid w:val="005215B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5215B0"/>
    <w:rPr>
      <w:i/>
      <w:iCs/>
      <w:color w:val="0F4761" w:themeColor="accent1" w:themeShade="BF"/>
    </w:rPr>
  </w:style>
  <w:style w:type="character" w:styleId="IntenseReference">
    <w:name w:val="Intense Reference"/>
    <w:basedOn w:val="DefaultParagraphFont"/>
    <w:uiPriority w:val="32"/>
    <w:qFormat/>
    <w:rsid w:val="005215B0"/>
    <w:rPr>
      <w:b/>
      <w:bCs/>
      <w:smallCaps/>
      <w:color w:val="0F4761" w:themeColor="accent1" w:themeShade="BF"/>
      <w:spacing w:val="5"/>
    </w:rPr>
  </w:style>
  <w:style w:type="character" w:styleId="LineNumber">
    <w:name w:val="line number"/>
    <w:basedOn w:val="DefaultParagraphFont"/>
    <w:uiPriority w:val="99"/>
    <w:semiHidden/>
    <w:unhideWhenUsed/>
    <w:rsid w:val="00521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chart" Target="charts/chart1.xml"/><Relationship Id="rId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C:/SynologyDrive/Forschungsprojekte/KND/Telemedizin/PROSPEKTIV/KND%20Alarme%2001-2024%20bis%2003-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Sheet1!$C$28</c:f>
              <c:strCache>
                <c:ptCount val="1"/>
                <c:pt idx="0">
                  <c:v>Alarms with arrival at the patient</c:v>
                </c:pt>
              </c:strCache>
            </c:strRef>
          </c:tx>
          <c:spPr>
            <a:solidFill>
              <a:schemeClr val="bg2">
                <a:lumMod val="50000"/>
              </a:schemeClr>
            </a:solidFill>
            <a:ln>
              <a:noFill/>
            </a:ln>
            <a:effectLst/>
          </c:spPr>
          <c:invertIfNegative val="0"/>
          <c:cat>
            <c:multiLvlStrRef>
              <c:f>Sheet1!$A$29:$B$46</c:f>
              <c:multiLvlStrCache>
                <c:ptCount val="18"/>
                <c:lvl>
                  <c:pt idx="0">
                    <c:v>October</c:v>
                  </c:pt>
                  <c:pt idx="1">
                    <c:v>November</c:v>
                  </c:pt>
                  <c:pt idx="2">
                    <c:v>December</c:v>
                  </c:pt>
                  <c:pt idx="3">
                    <c:v>January</c:v>
                  </c:pt>
                  <c:pt idx="4">
                    <c:v>February</c:v>
                  </c:pt>
                  <c:pt idx="5">
                    <c:v>March</c:v>
                  </c:pt>
                  <c:pt idx="6">
                    <c:v>April</c:v>
                  </c:pt>
                  <c:pt idx="7">
                    <c:v>May</c:v>
                  </c:pt>
                  <c:pt idx="8">
                    <c:v>June</c:v>
                  </c:pt>
                  <c:pt idx="9">
                    <c:v>July</c:v>
                  </c:pt>
                  <c:pt idx="10">
                    <c:v>August</c:v>
                  </c:pt>
                  <c:pt idx="11">
                    <c:v>September</c:v>
                  </c:pt>
                  <c:pt idx="12">
                    <c:v>October</c:v>
                  </c:pt>
                  <c:pt idx="13">
                    <c:v>November</c:v>
                  </c:pt>
                  <c:pt idx="14">
                    <c:v>December</c:v>
                  </c:pt>
                  <c:pt idx="15">
                    <c:v>January</c:v>
                  </c:pt>
                  <c:pt idx="16">
                    <c:v>February</c:v>
                  </c:pt>
                  <c:pt idx="17">
                    <c:v>March</c:v>
                  </c:pt>
                </c:lvl>
                <c:lvl>
                  <c:pt idx="0">
                    <c:v>2024</c:v>
                  </c:pt>
                  <c:pt idx="3">
                    <c:v>2025</c:v>
                  </c:pt>
                  <c:pt idx="15">
                    <c:v>2026</c:v>
                  </c:pt>
                </c:lvl>
              </c:multiLvlStrCache>
            </c:multiLvlStrRef>
          </c:cat>
          <c:val>
            <c:numRef>
              <c:f>Sheet1!$C$29:$C$46</c:f>
              <c:numCache>
                <c:formatCode>General</c:formatCode>
                <c:ptCount val="18"/>
                <c:pt idx="0">
                  <c:v>170</c:v>
                </c:pt>
                <c:pt idx="1">
                  <c:v>148</c:v>
                </c:pt>
                <c:pt idx="2">
                  <c:v>157</c:v>
                </c:pt>
                <c:pt idx="3">
                  <c:v>168</c:v>
                </c:pt>
                <c:pt idx="4">
                  <c:v>163</c:v>
                </c:pt>
                <c:pt idx="5">
                  <c:v>179</c:v>
                </c:pt>
                <c:pt idx="6">
                  <c:v>154</c:v>
                </c:pt>
                <c:pt idx="7">
                  <c:v>164</c:v>
                </c:pt>
                <c:pt idx="8">
                  <c:v>147</c:v>
                </c:pt>
                <c:pt idx="9">
                  <c:v>151</c:v>
                </c:pt>
                <c:pt idx="10">
                  <c:v>111</c:v>
                </c:pt>
                <c:pt idx="11">
                  <c:v>127</c:v>
                </c:pt>
                <c:pt idx="12">
                  <c:v>156</c:v>
                </c:pt>
                <c:pt idx="13">
                  <c:v>129</c:v>
                </c:pt>
                <c:pt idx="14">
                  <c:v>179</c:v>
                </c:pt>
                <c:pt idx="15">
                  <c:v>149</c:v>
                </c:pt>
                <c:pt idx="16">
                  <c:v>120</c:v>
                </c:pt>
                <c:pt idx="17">
                  <c:v>161</c:v>
                </c:pt>
              </c:numCache>
            </c:numRef>
          </c:val>
          <c:extLst>
            <c:ext xmlns:c16="http://schemas.microsoft.com/office/drawing/2014/chart" uri="{C3380CC4-5D6E-409C-BE32-E72D297353CC}">
              <c16:uniqueId val="{00000000-E9C0-4823-9DC5-D74CA6D227D2}"/>
            </c:ext>
          </c:extLst>
        </c:ser>
        <c:ser>
          <c:idx val="3"/>
          <c:order val="1"/>
          <c:tx>
            <c:strRef>
              <c:f>Sheet1!$F$28</c:f>
              <c:strCache>
                <c:ptCount val="1"/>
                <c:pt idx="0">
                  <c:v>Number of returned questionnaires</c:v>
                </c:pt>
              </c:strCache>
            </c:strRef>
          </c:tx>
          <c:spPr>
            <a:solidFill>
              <a:schemeClr val="bg2">
                <a:lumMod val="90000"/>
              </a:schemeClr>
            </a:solidFill>
            <a:ln>
              <a:noFill/>
            </a:ln>
            <a:effectLst/>
          </c:spPr>
          <c:invertIfNegative val="0"/>
          <c:cat>
            <c:multiLvlStrRef>
              <c:f>Sheet1!$A$29:$B$46</c:f>
              <c:multiLvlStrCache>
                <c:ptCount val="18"/>
                <c:lvl>
                  <c:pt idx="0">
                    <c:v>October</c:v>
                  </c:pt>
                  <c:pt idx="1">
                    <c:v>November</c:v>
                  </c:pt>
                  <c:pt idx="2">
                    <c:v>December</c:v>
                  </c:pt>
                  <c:pt idx="3">
                    <c:v>January</c:v>
                  </c:pt>
                  <c:pt idx="4">
                    <c:v>February</c:v>
                  </c:pt>
                  <c:pt idx="5">
                    <c:v>March</c:v>
                  </c:pt>
                  <c:pt idx="6">
                    <c:v>April</c:v>
                  </c:pt>
                  <c:pt idx="7">
                    <c:v>May</c:v>
                  </c:pt>
                  <c:pt idx="8">
                    <c:v>June</c:v>
                  </c:pt>
                  <c:pt idx="9">
                    <c:v>July</c:v>
                  </c:pt>
                  <c:pt idx="10">
                    <c:v>August</c:v>
                  </c:pt>
                  <c:pt idx="11">
                    <c:v>September</c:v>
                  </c:pt>
                  <c:pt idx="12">
                    <c:v>October</c:v>
                  </c:pt>
                  <c:pt idx="13">
                    <c:v>November</c:v>
                  </c:pt>
                  <c:pt idx="14">
                    <c:v>December</c:v>
                  </c:pt>
                  <c:pt idx="15">
                    <c:v>January</c:v>
                  </c:pt>
                  <c:pt idx="16">
                    <c:v>February</c:v>
                  </c:pt>
                  <c:pt idx="17">
                    <c:v>March</c:v>
                  </c:pt>
                </c:lvl>
                <c:lvl>
                  <c:pt idx="0">
                    <c:v>2024</c:v>
                  </c:pt>
                  <c:pt idx="3">
                    <c:v>2025</c:v>
                  </c:pt>
                  <c:pt idx="15">
                    <c:v>2026</c:v>
                  </c:pt>
                </c:lvl>
              </c:multiLvlStrCache>
            </c:multiLvlStrRef>
          </c:cat>
          <c:val>
            <c:numRef>
              <c:f>Sheet1!$F$29:$F$46</c:f>
              <c:numCache>
                <c:formatCode>General</c:formatCode>
                <c:ptCount val="18"/>
                <c:pt idx="0">
                  <c:v>120</c:v>
                </c:pt>
                <c:pt idx="1">
                  <c:v>61</c:v>
                </c:pt>
                <c:pt idx="2">
                  <c:v>43</c:v>
                </c:pt>
                <c:pt idx="3">
                  <c:v>26</c:v>
                </c:pt>
                <c:pt idx="4">
                  <c:v>37</c:v>
                </c:pt>
                <c:pt idx="5">
                  <c:v>25</c:v>
                </c:pt>
                <c:pt idx="6">
                  <c:v>30</c:v>
                </c:pt>
                <c:pt idx="7">
                  <c:v>43</c:v>
                </c:pt>
                <c:pt idx="8">
                  <c:v>15</c:v>
                </c:pt>
                <c:pt idx="9">
                  <c:v>46</c:v>
                </c:pt>
                <c:pt idx="10">
                  <c:v>25</c:v>
                </c:pt>
                <c:pt idx="11">
                  <c:v>30</c:v>
                </c:pt>
                <c:pt idx="12">
                  <c:v>37</c:v>
                </c:pt>
                <c:pt idx="13">
                  <c:v>29</c:v>
                </c:pt>
                <c:pt idx="14">
                  <c:v>14</c:v>
                </c:pt>
                <c:pt idx="15">
                  <c:v>22</c:v>
                </c:pt>
                <c:pt idx="16">
                  <c:v>10</c:v>
                </c:pt>
                <c:pt idx="17">
                  <c:v>14</c:v>
                </c:pt>
              </c:numCache>
            </c:numRef>
          </c:val>
          <c:extLst>
            <c:ext xmlns:c16="http://schemas.microsoft.com/office/drawing/2014/chart" uri="{C3380CC4-5D6E-409C-BE32-E72D297353CC}">
              <c16:uniqueId val="{00000001-E9C0-4823-9DC5-D74CA6D227D2}"/>
            </c:ext>
          </c:extLst>
        </c:ser>
        <c:dLbls>
          <c:showLegendKey val="0"/>
          <c:showVal val="0"/>
          <c:showCatName val="0"/>
          <c:showSerName val="0"/>
          <c:showPercent val="0"/>
          <c:showBubbleSize val="0"/>
        </c:dLbls>
        <c:gapWidth val="219"/>
        <c:overlap val="-27"/>
        <c:axId val="1361833119"/>
        <c:axId val="1361837439"/>
      </c:barChart>
      <c:lineChart>
        <c:grouping val="standard"/>
        <c:varyColors val="0"/>
        <c:ser>
          <c:idx val="4"/>
          <c:order val="2"/>
          <c:tx>
            <c:strRef>
              <c:f>Sheet1!$G$28</c:f>
              <c:strCache>
                <c:ptCount val="1"/>
                <c:pt idx="0">
                  <c:v>Capture rate</c:v>
                </c:pt>
              </c:strCache>
            </c:strRef>
          </c:tx>
          <c:spPr>
            <a:ln w="28575" cap="rnd">
              <a:solidFill>
                <a:schemeClr val="tx1"/>
              </a:solidFill>
              <a:round/>
            </a:ln>
            <a:effectLst/>
          </c:spPr>
          <c:marker>
            <c:symbol val="none"/>
          </c:marker>
          <c:cat>
            <c:multiLvlStrRef>
              <c:f>Sheet1!$A$29:$B$46</c:f>
              <c:multiLvlStrCache>
                <c:ptCount val="18"/>
                <c:lvl>
                  <c:pt idx="0">
                    <c:v>October</c:v>
                  </c:pt>
                  <c:pt idx="1">
                    <c:v>November</c:v>
                  </c:pt>
                  <c:pt idx="2">
                    <c:v>December</c:v>
                  </c:pt>
                  <c:pt idx="3">
                    <c:v>January</c:v>
                  </c:pt>
                  <c:pt idx="4">
                    <c:v>February</c:v>
                  </c:pt>
                  <c:pt idx="5">
                    <c:v>March</c:v>
                  </c:pt>
                  <c:pt idx="6">
                    <c:v>April</c:v>
                  </c:pt>
                  <c:pt idx="7">
                    <c:v>May</c:v>
                  </c:pt>
                  <c:pt idx="8">
                    <c:v>June</c:v>
                  </c:pt>
                  <c:pt idx="9">
                    <c:v>July</c:v>
                  </c:pt>
                  <c:pt idx="10">
                    <c:v>August</c:v>
                  </c:pt>
                  <c:pt idx="11">
                    <c:v>September</c:v>
                  </c:pt>
                  <c:pt idx="12">
                    <c:v>October</c:v>
                  </c:pt>
                  <c:pt idx="13">
                    <c:v>November</c:v>
                  </c:pt>
                  <c:pt idx="14">
                    <c:v>December</c:v>
                  </c:pt>
                  <c:pt idx="15">
                    <c:v>January</c:v>
                  </c:pt>
                  <c:pt idx="16">
                    <c:v>February</c:v>
                  </c:pt>
                  <c:pt idx="17">
                    <c:v>March</c:v>
                  </c:pt>
                </c:lvl>
                <c:lvl>
                  <c:pt idx="0">
                    <c:v>2024</c:v>
                  </c:pt>
                  <c:pt idx="3">
                    <c:v>2025</c:v>
                  </c:pt>
                  <c:pt idx="15">
                    <c:v>2026</c:v>
                  </c:pt>
                </c:lvl>
              </c:multiLvlStrCache>
            </c:multiLvlStrRef>
          </c:cat>
          <c:val>
            <c:numRef>
              <c:f>Sheet1!$G$29:$G$46</c:f>
              <c:numCache>
                <c:formatCode>0.0%</c:formatCode>
                <c:ptCount val="18"/>
                <c:pt idx="0">
                  <c:v>0.70588235294117652</c:v>
                </c:pt>
                <c:pt idx="1">
                  <c:v>0.41216216216216217</c:v>
                </c:pt>
                <c:pt idx="2">
                  <c:v>0.27388535031847133</c:v>
                </c:pt>
                <c:pt idx="3">
                  <c:v>0.15476190476190477</c:v>
                </c:pt>
                <c:pt idx="4">
                  <c:v>0.22699386503067484</c:v>
                </c:pt>
                <c:pt idx="5">
                  <c:v>0.13966480446927373</c:v>
                </c:pt>
                <c:pt idx="6">
                  <c:v>0.19480519480519481</c:v>
                </c:pt>
                <c:pt idx="7">
                  <c:v>0.26219512195121952</c:v>
                </c:pt>
                <c:pt idx="8">
                  <c:v>0.10204081632653061</c:v>
                </c:pt>
                <c:pt idx="9">
                  <c:v>0.30463576158940397</c:v>
                </c:pt>
                <c:pt idx="10">
                  <c:v>0.22522522522522523</c:v>
                </c:pt>
                <c:pt idx="11">
                  <c:v>0.23622047244094488</c:v>
                </c:pt>
                <c:pt idx="12">
                  <c:v>0.23717948717948717</c:v>
                </c:pt>
                <c:pt idx="13">
                  <c:v>0.22480620155038761</c:v>
                </c:pt>
                <c:pt idx="14">
                  <c:v>7.8212290502793297E-2</c:v>
                </c:pt>
                <c:pt idx="15">
                  <c:v>0.1476510067114094</c:v>
                </c:pt>
                <c:pt idx="16">
                  <c:v>8.3333333333333329E-2</c:v>
                </c:pt>
                <c:pt idx="17">
                  <c:v>8.6956521739130432E-2</c:v>
                </c:pt>
              </c:numCache>
            </c:numRef>
          </c:val>
          <c:smooth val="0"/>
          <c:extLst>
            <c:ext xmlns:c16="http://schemas.microsoft.com/office/drawing/2014/chart" uri="{C3380CC4-5D6E-409C-BE32-E72D297353CC}">
              <c16:uniqueId val="{00000002-E9C0-4823-9DC5-D74CA6D227D2}"/>
            </c:ext>
          </c:extLst>
        </c:ser>
        <c:dLbls>
          <c:showLegendKey val="0"/>
          <c:showVal val="0"/>
          <c:showCatName val="0"/>
          <c:showSerName val="0"/>
          <c:showPercent val="0"/>
          <c:showBubbleSize val="0"/>
        </c:dLbls>
        <c:marker val="1"/>
        <c:smooth val="0"/>
        <c:axId val="1361835519"/>
        <c:axId val="1361835039"/>
      </c:lineChart>
      <c:catAx>
        <c:axId val="1361833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1361837439"/>
        <c:crosses val="autoZero"/>
        <c:auto val="1"/>
        <c:lblAlgn val="ctr"/>
        <c:lblOffset val="100"/>
        <c:noMultiLvlLbl val="0"/>
      </c:catAx>
      <c:valAx>
        <c:axId val="136183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1361833119"/>
        <c:crosses val="autoZero"/>
        <c:crossBetween val="between"/>
      </c:valAx>
      <c:valAx>
        <c:axId val="1361835039"/>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1361835519"/>
        <c:crosses val="max"/>
        <c:crossBetween val="between"/>
      </c:valAx>
      <c:catAx>
        <c:axId val="1361835519"/>
        <c:scaling>
          <c:orientation val="minMax"/>
        </c:scaling>
        <c:delete val="1"/>
        <c:axPos val="b"/>
        <c:numFmt formatCode="General" sourceLinked="1"/>
        <c:majorTickMark val="none"/>
        <c:minorTickMark val="none"/>
        <c:tickLblPos val="nextTo"/>
        <c:crossAx val="136183503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2026-08-05T09:15:00Z</dcterms:created>
  <dcterms:modified xsi:type="dcterms:W3CDTF">2026-08-05T09:16:00Z</dcterms:modified>
</cp:coreProperties>
</file>