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14:paraId="42F6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14:paraId="07AEEDF9">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Section / Topic</w:t>
            </w:r>
          </w:p>
          <w:p w14:paraId="0F5F40E3">
            <w:pPr>
              <w:spacing w:line="240" w:lineRule="auto"/>
              <w:rPr>
                <w:rFonts w:ascii="Calibri" w:hAnsi="Calibri" w:eastAsia="Calibri" w:cs="Calibri"/>
                <w:b/>
                <w:color w:val="000000"/>
                <w:sz w:val="22"/>
                <w:szCs w:val="22"/>
                <w:lang w:val="en-GB"/>
              </w:rPr>
            </w:pPr>
          </w:p>
        </w:tc>
        <w:tc>
          <w:tcPr>
            <w:tcW w:w="992" w:type="dxa"/>
            <w:shd w:val="clear" w:color="auto" w:fill="BFBFBF"/>
          </w:tcPr>
          <w:p w14:paraId="5449031B">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No</w:t>
            </w:r>
          </w:p>
        </w:tc>
        <w:tc>
          <w:tcPr>
            <w:tcW w:w="9356" w:type="dxa"/>
            <w:shd w:val="clear" w:color="auto" w:fill="BEBEBE" w:themeFill="background1" w:themeFillShade="BF"/>
          </w:tcPr>
          <w:p w14:paraId="1008F6F5">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CONSORT 2025 checklist item description</w:t>
            </w:r>
          </w:p>
        </w:tc>
        <w:tc>
          <w:tcPr>
            <w:tcW w:w="1417" w:type="dxa"/>
            <w:shd w:val="clear" w:color="auto" w:fill="BEBEBE" w:themeFill="background1" w:themeFillShade="BF"/>
          </w:tcPr>
          <w:p w14:paraId="6927BCB3">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Reported on page no.</w:t>
            </w:r>
          </w:p>
        </w:tc>
      </w:tr>
      <w:tr w14:paraId="35E6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2895" w:type="dxa"/>
            <w:gridSpan w:val="3"/>
            <w:shd w:val="clear" w:color="auto" w:fill="C6D9F0" w:themeFill="text2" w:themeFillTint="33"/>
          </w:tcPr>
          <w:p w14:paraId="105C098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Title and abstract</w:t>
            </w:r>
          </w:p>
        </w:tc>
        <w:tc>
          <w:tcPr>
            <w:tcW w:w="1417" w:type="dxa"/>
            <w:shd w:val="clear" w:color="auto" w:fill="C6D9F0" w:themeFill="text2" w:themeFillTint="33"/>
          </w:tcPr>
          <w:p w14:paraId="0AC158EA">
            <w:pPr>
              <w:spacing w:line="240" w:lineRule="auto"/>
              <w:rPr>
                <w:rFonts w:ascii="Calibri" w:hAnsi="Calibri" w:eastAsia="Calibri" w:cs="Calibri"/>
                <w:b/>
                <w:color w:val="000000"/>
                <w:sz w:val="22"/>
                <w:szCs w:val="22"/>
                <w:lang w:val="en-GB"/>
              </w:rPr>
            </w:pPr>
          </w:p>
        </w:tc>
      </w:tr>
      <w:tr w14:paraId="10FC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14:paraId="55516C2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Title and structured abstract</w:t>
            </w:r>
          </w:p>
        </w:tc>
        <w:tc>
          <w:tcPr>
            <w:tcW w:w="992" w:type="dxa"/>
          </w:tcPr>
          <w:p w14:paraId="2FAFE5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1a</w:t>
            </w:r>
          </w:p>
        </w:tc>
        <w:tc>
          <w:tcPr>
            <w:tcW w:w="9356" w:type="dxa"/>
          </w:tcPr>
          <w:p w14:paraId="0A0F8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Identification as a randomised trial </w:t>
            </w:r>
          </w:p>
        </w:tc>
        <w:tc>
          <w:tcPr>
            <w:tcW w:w="1417" w:type="dxa"/>
          </w:tcPr>
          <w:p w14:paraId="560C7284">
            <w:r>
              <w:t>1</w:t>
            </w:r>
          </w:p>
        </w:tc>
      </w:tr>
      <w:tr w14:paraId="2962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14:paraId="4CFF80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0E58D9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1b</w:t>
            </w:r>
          </w:p>
        </w:tc>
        <w:tc>
          <w:tcPr>
            <w:tcW w:w="9356" w:type="dxa"/>
          </w:tcPr>
          <w:p w14:paraId="0176107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Structured summary of the trial design, methods, results, and conclusions</w:t>
            </w:r>
          </w:p>
        </w:tc>
        <w:tc>
          <w:tcPr>
            <w:tcW w:w="1417" w:type="dxa"/>
          </w:tcPr>
          <w:p w14:paraId="4B344C69">
            <w:r>
              <w:t>1-2</w:t>
            </w:r>
          </w:p>
        </w:tc>
      </w:tr>
      <w:tr w14:paraId="3A57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353B2DC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Open science</w:t>
            </w:r>
          </w:p>
        </w:tc>
        <w:tc>
          <w:tcPr>
            <w:tcW w:w="1417" w:type="dxa"/>
            <w:shd w:val="clear" w:color="auto" w:fill="C6D9F0" w:themeFill="text2" w:themeFillTint="33"/>
          </w:tcPr>
          <w:p w14:paraId="6C7112DB">
            <w:pPr>
              <w:spacing w:line="240" w:lineRule="auto"/>
              <w:rPr>
                <w:rFonts w:ascii="Calibri" w:hAnsi="Calibri" w:eastAsia="Calibri" w:cs="Calibri"/>
                <w:b/>
                <w:color w:val="000000"/>
                <w:sz w:val="22"/>
                <w:szCs w:val="22"/>
                <w:lang w:val="en-GB"/>
              </w:rPr>
            </w:pPr>
          </w:p>
        </w:tc>
      </w:tr>
      <w:tr w14:paraId="6325B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59029C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registration</w:t>
            </w:r>
          </w:p>
        </w:tc>
        <w:tc>
          <w:tcPr>
            <w:tcW w:w="992" w:type="dxa"/>
          </w:tcPr>
          <w:p w14:paraId="169EB1A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w:t>
            </w:r>
          </w:p>
        </w:tc>
        <w:tc>
          <w:tcPr>
            <w:tcW w:w="9356" w:type="dxa"/>
          </w:tcPr>
          <w:p w14:paraId="6110F8C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Name of trial registry, identifying number (with URL) and date of registration</w:t>
            </w:r>
          </w:p>
        </w:tc>
        <w:tc>
          <w:tcPr>
            <w:tcW w:w="1417" w:type="dxa"/>
          </w:tcPr>
          <w:p w14:paraId="0E596AA8">
            <w:r>
              <w:t>2</w:t>
            </w:r>
          </w:p>
        </w:tc>
      </w:tr>
      <w:tr w14:paraId="5732C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3979146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Protocol and statistical analysis plan</w:t>
            </w:r>
          </w:p>
        </w:tc>
        <w:tc>
          <w:tcPr>
            <w:tcW w:w="992" w:type="dxa"/>
          </w:tcPr>
          <w:p w14:paraId="7510EBB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w:t>
            </w:r>
          </w:p>
        </w:tc>
        <w:tc>
          <w:tcPr>
            <w:tcW w:w="9356" w:type="dxa"/>
          </w:tcPr>
          <w:p w14:paraId="2530AB9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the trial protocol and statistical analysis plan can be accessed</w:t>
            </w:r>
          </w:p>
        </w:tc>
        <w:tc>
          <w:tcPr>
            <w:tcW w:w="1417" w:type="dxa"/>
          </w:tcPr>
          <w:p w14:paraId="3E736C32">
            <w:r>
              <w:t>2</w:t>
            </w:r>
          </w:p>
        </w:tc>
      </w:tr>
      <w:tr w14:paraId="545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22B7D7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Data sharing</w:t>
            </w:r>
          </w:p>
        </w:tc>
        <w:tc>
          <w:tcPr>
            <w:tcW w:w="992" w:type="dxa"/>
          </w:tcPr>
          <w:p w14:paraId="697875C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4</w:t>
            </w:r>
          </w:p>
        </w:tc>
        <w:tc>
          <w:tcPr>
            <w:tcW w:w="9356" w:type="dxa"/>
          </w:tcPr>
          <w:p w14:paraId="4D4B145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799B4231">
            <w:r>
              <w:t>21</w:t>
            </w:r>
          </w:p>
        </w:tc>
      </w:tr>
      <w:tr w14:paraId="53FD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14:paraId="47802CC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Funding and conflicts of interest</w:t>
            </w:r>
          </w:p>
        </w:tc>
        <w:tc>
          <w:tcPr>
            <w:tcW w:w="992" w:type="dxa"/>
          </w:tcPr>
          <w:p w14:paraId="1B41FA2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5a</w:t>
            </w:r>
          </w:p>
        </w:tc>
        <w:tc>
          <w:tcPr>
            <w:tcW w:w="9356" w:type="dxa"/>
          </w:tcPr>
          <w:p w14:paraId="4D265E5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Sources of funding and other support (e.g., supply of drugs), and role of funders in the design, conduct, analysis and reporting of the trial</w:t>
            </w:r>
          </w:p>
        </w:tc>
        <w:tc>
          <w:tcPr>
            <w:tcW w:w="1417" w:type="dxa"/>
          </w:tcPr>
          <w:p w14:paraId="10AD0EAE">
            <w:r>
              <w:t>21</w:t>
            </w:r>
          </w:p>
        </w:tc>
      </w:tr>
      <w:tr w14:paraId="0D64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14:paraId="33AB9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9C3C9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5b</w:t>
            </w:r>
          </w:p>
        </w:tc>
        <w:tc>
          <w:tcPr>
            <w:tcW w:w="9356" w:type="dxa"/>
          </w:tcPr>
          <w:p w14:paraId="471BB7B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Financial and other conflicts of interest of the manuscript authors</w:t>
            </w:r>
          </w:p>
        </w:tc>
        <w:tc>
          <w:tcPr>
            <w:tcW w:w="1417" w:type="dxa"/>
          </w:tcPr>
          <w:p w14:paraId="5FCB566A">
            <w:r>
              <w:t>21</w:t>
            </w:r>
          </w:p>
        </w:tc>
      </w:tr>
      <w:tr w14:paraId="6808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571BFEBF">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Introduction</w:t>
            </w:r>
          </w:p>
        </w:tc>
        <w:tc>
          <w:tcPr>
            <w:tcW w:w="1417" w:type="dxa"/>
            <w:shd w:val="clear" w:color="auto" w:fill="C6D9F0" w:themeFill="text2" w:themeFillTint="33"/>
          </w:tcPr>
          <w:p w14:paraId="32FD8D83">
            <w:pPr>
              <w:spacing w:line="240" w:lineRule="auto"/>
              <w:rPr>
                <w:rFonts w:ascii="Calibri" w:hAnsi="Calibri" w:eastAsia="Calibri" w:cs="Calibri"/>
                <w:b/>
                <w:color w:val="000000"/>
                <w:sz w:val="22"/>
                <w:szCs w:val="22"/>
                <w:lang w:val="en-GB"/>
              </w:rPr>
            </w:pPr>
          </w:p>
        </w:tc>
      </w:tr>
      <w:tr w14:paraId="37A36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14:paraId="36CFF56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Background and rationale</w:t>
            </w:r>
          </w:p>
        </w:tc>
        <w:tc>
          <w:tcPr>
            <w:tcW w:w="992" w:type="dxa"/>
            <w:tcBorders>
              <w:bottom w:val="single" w:color="000000" w:sz="4" w:space="0"/>
            </w:tcBorders>
          </w:tcPr>
          <w:p w14:paraId="630536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6</w:t>
            </w:r>
          </w:p>
        </w:tc>
        <w:tc>
          <w:tcPr>
            <w:tcW w:w="9356" w:type="dxa"/>
          </w:tcPr>
          <w:p w14:paraId="5A09739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Scientific background and rationale</w:t>
            </w:r>
          </w:p>
        </w:tc>
        <w:tc>
          <w:tcPr>
            <w:tcW w:w="1417" w:type="dxa"/>
          </w:tcPr>
          <w:p w14:paraId="4FE1BB32">
            <w:r>
              <w:t>3-5</w:t>
            </w:r>
          </w:p>
        </w:tc>
      </w:tr>
      <w:tr w14:paraId="55C5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Align w:val="center"/>
          </w:tcPr>
          <w:p w14:paraId="12B554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Objectives</w:t>
            </w:r>
          </w:p>
        </w:tc>
        <w:tc>
          <w:tcPr>
            <w:tcW w:w="992" w:type="dxa"/>
          </w:tcPr>
          <w:p w14:paraId="517F8E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7</w:t>
            </w:r>
          </w:p>
        </w:tc>
        <w:tc>
          <w:tcPr>
            <w:tcW w:w="9356" w:type="dxa"/>
          </w:tcPr>
          <w:p w14:paraId="2591646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Specific objectives related to benefits and harms</w:t>
            </w:r>
          </w:p>
        </w:tc>
        <w:tc>
          <w:tcPr>
            <w:tcW w:w="1417" w:type="dxa"/>
          </w:tcPr>
          <w:p w14:paraId="5740D4CF">
            <w:r>
              <w:t>5</w:t>
            </w:r>
          </w:p>
        </w:tc>
      </w:tr>
      <w:tr w14:paraId="1B3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1C08DDCD">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Methods</w:t>
            </w:r>
          </w:p>
        </w:tc>
        <w:tc>
          <w:tcPr>
            <w:tcW w:w="1417" w:type="dxa"/>
            <w:shd w:val="clear" w:color="auto" w:fill="C6D9F0" w:themeFill="text2" w:themeFillTint="33"/>
          </w:tcPr>
          <w:p w14:paraId="61DDDBB5">
            <w:pPr>
              <w:spacing w:line="240" w:lineRule="auto"/>
              <w:rPr>
                <w:rFonts w:ascii="Calibri" w:hAnsi="Calibri" w:eastAsia="Calibri" w:cs="Calibri"/>
                <w:b/>
                <w:color w:val="000000"/>
                <w:sz w:val="22"/>
                <w:szCs w:val="22"/>
                <w:lang w:val="en-GB"/>
              </w:rPr>
            </w:pPr>
          </w:p>
        </w:tc>
      </w:tr>
      <w:tr w14:paraId="05C5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6102716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Patient and public involvement</w:t>
            </w:r>
          </w:p>
        </w:tc>
        <w:tc>
          <w:tcPr>
            <w:tcW w:w="992" w:type="dxa"/>
          </w:tcPr>
          <w:p w14:paraId="35C4EF4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8</w:t>
            </w:r>
          </w:p>
        </w:tc>
        <w:tc>
          <w:tcPr>
            <w:tcW w:w="9356" w:type="dxa"/>
          </w:tcPr>
          <w:p w14:paraId="5F1D655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Details of patient or public involvement in the design, conduct and reporting of the trial</w:t>
            </w:r>
          </w:p>
        </w:tc>
        <w:tc>
          <w:tcPr>
            <w:tcW w:w="1417" w:type="dxa"/>
          </w:tcPr>
          <w:p w14:paraId="67134FF4">
            <w:r>
              <w:t>11</w:t>
            </w:r>
          </w:p>
        </w:tc>
      </w:tr>
      <w:tr w14:paraId="1118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0B3B044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design</w:t>
            </w:r>
          </w:p>
        </w:tc>
        <w:tc>
          <w:tcPr>
            <w:tcW w:w="992" w:type="dxa"/>
          </w:tcPr>
          <w:p w14:paraId="72205B9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9</w:t>
            </w:r>
          </w:p>
        </w:tc>
        <w:tc>
          <w:tcPr>
            <w:tcW w:w="9356" w:type="dxa"/>
          </w:tcPr>
          <w:p w14:paraId="5E662EA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50042321">
            <w:r>
              <w:t>6</w:t>
            </w:r>
          </w:p>
        </w:tc>
      </w:tr>
      <w:tr w14:paraId="3B0F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14:paraId="7D9C827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Changes to trial protocol</w:t>
            </w:r>
          </w:p>
        </w:tc>
        <w:tc>
          <w:tcPr>
            <w:tcW w:w="992" w:type="dxa"/>
          </w:tcPr>
          <w:p w14:paraId="784655B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10</w:t>
            </w:r>
          </w:p>
        </w:tc>
        <w:tc>
          <w:tcPr>
            <w:tcW w:w="9356" w:type="dxa"/>
          </w:tcPr>
          <w:p w14:paraId="3D532DC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Important changes to the trial after it commenced including any outcomes or analyses that were not prespecified, with reason</w:t>
            </w:r>
          </w:p>
        </w:tc>
        <w:tc>
          <w:tcPr>
            <w:tcW w:w="1417" w:type="dxa"/>
          </w:tcPr>
          <w:p w14:paraId="45429DF5">
            <w:r>
              <w:t>6</w:t>
            </w:r>
          </w:p>
        </w:tc>
      </w:tr>
      <w:tr w14:paraId="18EE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14:paraId="5BFE6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setting</w:t>
            </w:r>
          </w:p>
        </w:tc>
        <w:tc>
          <w:tcPr>
            <w:tcW w:w="992" w:type="dxa"/>
          </w:tcPr>
          <w:p w14:paraId="4A046B8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11</w:t>
            </w:r>
          </w:p>
        </w:tc>
        <w:tc>
          <w:tcPr>
            <w:tcW w:w="9356" w:type="dxa"/>
          </w:tcPr>
          <w:p w14:paraId="269E109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Settings (e.g., community, hospital) and locations (e.g., countries, sites) where the trial was conducted</w:t>
            </w:r>
          </w:p>
        </w:tc>
        <w:tc>
          <w:tcPr>
            <w:tcW w:w="1417" w:type="dxa"/>
          </w:tcPr>
          <w:p w14:paraId="0AEEDD77">
            <w:r>
              <w:t>6</w:t>
            </w:r>
          </w:p>
        </w:tc>
      </w:tr>
      <w:tr w14:paraId="134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14:paraId="1FDD4F7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w:t>
            </w:r>
          </w:p>
        </w:tc>
        <w:tc>
          <w:tcPr>
            <w:tcW w:w="992" w:type="dxa"/>
          </w:tcPr>
          <w:p w14:paraId="083D8C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12a</w:t>
            </w:r>
          </w:p>
        </w:tc>
        <w:tc>
          <w:tcPr>
            <w:tcW w:w="9356" w:type="dxa"/>
          </w:tcPr>
          <w:p w14:paraId="3C4A8E8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 for participants</w:t>
            </w:r>
          </w:p>
        </w:tc>
        <w:tc>
          <w:tcPr>
            <w:tcW w:w="1417" w:type="dxa"/>
          </w:tcPr>
          <w:p w14:paraId="78B4161E">
            <w:r>
              <w:t>6</w:t>
            </w:r>
          </w:p>
        </w:tc>
      </w:tr>
      <w:tr w14:paraId="2E19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14:paraId="37DCF47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29BA2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12b</w:t>
            </w:r>
          </w:p>
        </w:tc>
        <w:tc>
          <w:tcPr>
            <w:tcW w:w="9356" w:type="dxa"/>
          </w:tcPr>
          <w:p w14:paraId="17B5A22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applicable, eligibility criteria for sites and for individuals delivering the interventions (e.g., surgeons, physiotherapists)</w:t>
            </w:r>
          </w:p>
        </w:tc>
        <w:tc>
          <w:tcPr>
            <w:tcW w:w="1417" w:type="dxa"/>
          </w:tcPr>
          <w:p w14:paraId="7C0AED61">
            <w:r>
              <w:t>7-8</w:t>
            </w:r>
          </w:p>
        </w:tc>
      </w:tr>
      <w:tr w14:paraId="72C2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14:paraId="23EE01E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w:t>
            </w:r>
          </w:p>
        </w:tc>
        <w:tc>
          <w:tcPr>
            <w:tcW w:w="992" w:type="dxa"/>
          </w:tcPr>
          <w:p w14:paraId="7CCB218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13</w:t>
            </w:r>
          </w:p>
        </w:tc>
        <w:tc>
          <w:tcPr>
            <w:tcW w:w="9356" w:type="dxa"/>
          </w:tcPr>
          <w:p w14:paraId="17D21D8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04B7C185">
            <w:r>
              <w:t>7-10</w:t>
            </w:r>
          </w:p>
        </w:tc>
      </w:tr>
      <w:tr w14:paraId="2D3D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14:paraId="273E4E1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w:t>
            </w:r>
          </w:p>
        </w:tc>
        <w:tc>
          <w:tcPr>
            <w:tcW w:w="992" w:type="dxa"/>
          </w:tcPr>
          <w:p w14:paraId="1C47886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14</w:t>
            </w:r>
          </w:p>
          <w:p w14:paraId="7F479C8B">
            <w:pPr>
              <w:spacing w:line="240" w:lineRule="auto"/>
              <w:jc w:val="center"/>
              <w:rPr>
                <w:rFonts w:ascii="Calibri" w:hAnsi="Calibri" w:eastAsia="Calibri" w:cs="Calibri"/>
                <w:color w:val="000000"/>
                <w:sz w:val="22"/>
                <w:szCs w:val="22"/>
                <w:lang w:val="en-GB"/>
              </w:rPr>
            </w:pPr>
          </w:p>
        </w:tc>
        <w:tc>
          <w:tcPr>
            <w:tcW w:w="9356" w:type="dxa"/>
          </w:tcPr>
          <w:p w14:paraId="794D803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7C526F10">
            <w:r>
              <w:t>10</w:t>
            </w:r>
          </w:p>
        </w:tc>
      </w:tr>
      <w:tr w14:paraId="58D1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14:paraId="3A9C250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1344FF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15</w:t>
            </w:r>
          </w:p>
        </w:tc>
        <w:tc>
          <w:tcPr>
            <w:tcW w:w="9356" w:type="dxa"/>
          </w:tcPr>
          <w:p w14:paraId="591013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harms were defined and assessed (e.g., systematically, non-systematically)</w:t>
            </w:r>
          </w:p>
        </w:tc>
        <w:tc>
          <w:tcPr>
            <w:tcW w:w="1417" w:type="dxa"/>
          </w:tcPr>
          <w:p w14:paraId="27538BD7">
            <w:r>
              <w:t>11</w:t>
            </w:r>
          </w:p>
        </w:tc>
      </w:tr>
      <w:tr w14:paraId="6297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restart"/>
          </w:tcPr>
          <w:p w14:paraId="6A7FA31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Sample size</w:t>
            </w:r>
          </w:p>
        </w:tc>
        <w:tc>
          <w:tcPr>
            <w:tcW w:w="992" w:type="dxa"/>
          </w:tcPr>
          <w:p w14:paraId="3D9FEE9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16a</w:t>
            </w:r>
          </w:p>
        </w:tc>
        <w:tc>
          <w:tcPr>
            <w:tcW w:w="9356" w:type="dxa"/>
          </w:tcPr>
          <w:p w14:paraId="3B91C74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sample size was determined, including all assumptions supporting the sample size calculation</w:t>
            </w:r>
          </w:p>
        </w:tc>
        <w:tc>
          <w:tcPr>
            <w:tcW w:w="1417" w:type="dxa"/>
          </w:tcPr>
          <w:p w14:paraId="26BE2003">
            <w:r>
              <w:t>10</w:t>
            </w:r>
          </w:p>
        </w:tc>
      </w:tr>
      <w:tr w14:paraId="365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14:paraId="5EE399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C8443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16b</w:t>
            </w:r>
          </w:p>
        </w:tc>
        <w:tc>
          <w:tcPr>
            <w:tcW w:w="9356" w:type="dxa"/>
          </w:tcPr>
          <w:p w14:paraId="5929DED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Explanation of any interim analyses and stopping guidelines</w:t>
            </w:r>
          </w:p>
        </w:tc>
        <w:tc>
          <w:tcPr>
            <w:tcW w:w="1417" w:type="dxa"/>
          </w:tcPr>
          <w:p w14:paraId="3A4A23B0">
            <w:r>
              <w:t>11</w:t>
            </w:r>
          </w:p>
        </w:tc>
      </w:tr>
      <w:tr w14:paraId="7CF31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14:paraId="1D2AE3F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Randomisation:</w:t>
            </w:r>
          </w:p>
        </w:tc>
        <w:tc>
          <w:tcPr>
            <w:tcW w:w="992" w:type="dxa"/>
          </w:tcPr>
          <w:p w14:paraId="11796DC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9356" w:type="dxa"/>
          </w:tcPr>
          <w:p w14:paraId="7A75315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1417" w:type="dxa"/>
          </w:tcPr>
          <w:p w14:paraId="036862A2">
            <w:pPr>
              <w:spacing w:line="240" w:lineRule="auto"/>
              <w:rPr>
                <w:rFonts w:ascii="Calibri" w:hAnsi="Calibri" w:eastAsia="Calibri" w:cs="Calibri"/>
                <w:color w:val="000000"/>
                <w:sz w:val="22"/>
                <w:szCs w:val="22"/>
                <w:lang w:val="en-GB"/>
              </w:rPr>
            </w:pPr>
          </w:p>
        </w:tc>
      </w:tr>
      <w:tr w14:paraId="4537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14:paraId="15B2BB96">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Sequence generation</w:t>
            </w:r>
          </w:p>
        </w:tc>
        <w:tc>
          <w:tcPr>
            <w:tcW w:w="992" w:type="dxa"/>
          </w:tcPr>
          <w:p w14:paraId="04D32F8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17a</w:t>
            </w:r>
          </w:p>
        </w:tc>
        <w:tc>
          <w:tcPr>
            <w:tcW w:w="9356" w:type="dxa"/>
          </w:tcPr>
          <w:p w14:paraId="34D407B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Who generated the random allocation sequence and the method used</w:t>
            </w:r>
          </w:p>
        </w:tc>
        <w:tc>
          <w:tcPr>
            <w:tcW w:w="1417" w:type="dxa"/>
          </w:tcPr>
          <w:p w14:paraId="4254B27B">
            <w:r>
              <w:t>6</w:t>
            </w:r>
          </w:p>
        </w:tc>
      </w:tr>
      <w:tr w14:paraId="14E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14:paraId="0F443E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482760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17b</w:t>
            </w:r>
          </w:p>
        </w:tc>
        <w:tc>
          <w:tcPr>
            <w:tcW w:w="9356" w:type="dxa"/>
          </w:tcPr>
          <w:p w14:paraId="29B4B76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Type of randomisation and details of any restriction (e.g., stratification, blocking and block size)</w:t>
            </w:r>
          </w:p>
        </w:tc>
        <w:tc>
          <w:tcPr>
            <w:tcW w:w="1417" w:type="dxa"/>
          </w:tcPr>
          <w:p w14:paraId="7FBCD335">
            <w:r>
              <w:t>6</w:t>
            </w:r>
          </w:p>
        </w:tc>
      </w:tr>
      <w:tr w14:paraId="30B7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14:paraId="50619AAE">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Allocation concealment mechanism</w:t>
            </w:r>
          </w:p>
        </w:tc>
        <w:tc>
          <w:tcPr>
            <w:tcW w:w="992" w:type="dxa"/>
          </w:tcPr>
          <w:p w14:paraId="4B77DA4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18</w:t>
            </w:r>
          </w:p>
        </w:tc>
        <w:tc>
          <w:tcPr>
            <w:tcW w:w="9356" w:type="dxa"/>
          </w:tcPr>
          <w:p w14:paraId="4FFCCFA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090E16AF">
            <w:r>
              <w:t>6</w:t>
            </w:r>
          </w:p>
        </w:tc>
      </w:tr>
      <w:tr w14:paraId="6853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14:paraId="1669B1E1">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Implementation</w:t>
            </w:r>
          </w:p>
        </w:tc>
        <w:tc>
          <w:tcPr>
            <w:tcW w:w="992" w:type="dxa"/>
          </w:tcPr>
          <w:p w14:paraId="6FD9CBB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19</w:t>
            </w:r>
          </w:p>
        </w:tc>
        <w:tc>
          <w:tcPr>
            <w:tcW w:w="9356" w:type="dxa"/>
          </w:tcPr>
          <w:p w14:paraId="1168460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0C1BD1E3">
            <w:r>
              <w:t>6</w:t>
            </w:r>
          </w:p>
        </w:tc>
      </w:tr>
      <w:tr w14:paraId="14AA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14:paraId="6035012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Blinding</w:t>
            </w:r>
          </w:p>
        </w:tc>
        <w:tc>
          <w:tcPr>
            <w:tcW w:w="992" w:type="dxa"/>
          </w:tcPr>
          <w:p w14:paraId="6C79645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20a</w:t>
            </w:r>
          </w:p>
        </w:tc>
        <w:tc>
          <w:tcPr>
            <w:tcW w:w="9356" w:type="dxa"/>
          </w:tcPr>
          <w:p w14:paraId="080A78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Who was blinded after assignment to interventions (e.g., participants, care providers, outcome assessors, data analysts) </w:t>
            </w:r>
          </w:p>
        </w:tc>
        <w:tc>
          <w:tcPr>
            <w:tcW w:w="1417" w:type="dxa"/>
          </w:tcPr>
          <w:p w14:paraId="622F7DF1">
            <w:r>
              <w:t>6-7</w:t>
            </w:r>
          </w:p>
        </w:tc>
      </w:tr>
      <w:tr w14:paraId="1957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14:paraId="6DDD68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6207EAC2">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20b</w:t>
            </w:r>
          </w:p>
        </w:tc>
        <w:tc>
          <w:tcPr>
            <w:tcW w:w="9356" w:type="dxa"/>
          </w:tcPr>
          <w:p w14:paraId="64C5F50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blinded, how blinding was achieved and description of the similarity of interventions</w:t>
            </w:r>
          </w:p>
        </w:tc>
        <w:tc>
          <w:tcPr>
            <w:tcW w:w="1417" w:type="dxa"/>
          </w:tcPr>
          <w:p w14:paraId="1EAB5A94">
            <w:r>
              <w:t>6-7</w:t>
            </w:r>
          </w:p>
        </w:tc>
      </w:tr>
      <w:tr w14:paraId="039E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14:paraId="3E5EB1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w:t>
            </w:r>
          </w:p>
        </w:tc>
        <w:tc>
          <w:tcPr>
            <w:tcW w:w="992" w:type="dxa"/>
          </w:tcPr>
          <w:p w14:paraId="51D15D6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21a</w:t>
            </w:r>
          </w:p>
        </w:tc>
        <w:tc>
          <w:tcPr>
            <w:tcW w:w="9356" w:type="dxa"/>
          </w:tcPr>
          <w:p w14:paraId="67FA2D0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 used to compare groups for primary and secondary outcomes, including harms</w:t>
            </w:r>
          </w:p>
        </w:tc>
        <w:tc>
          <w:tcPr>
            <w:tcW w:w="1417" w:type="dxa"/>
          </w:tcPr>
          <w:p w14:paraId="66E5DD30">
            <w:r>
              <w:t>10-11</w:t>
            </w:r>
          </w:p>
        </w:tc>
      </w:tr>
      <w:tr w14:paraId="06CA6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7629AC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7BA842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21b</w:t>
            </w:r>
          </w:p>
        </w:tc>
        <w:tc>
          <w:tcPr>
            <w:tcW w:w="9356" w:type="dxa"/>
          </w:tcPr>
          <w:p w14:paraId="096BC75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Definition of who is included in each analysis (e.g., all randomised participants), and in which group</w:t>
            </w:r>
          </w:p>
        </w:tc>
        <w:tc>
          <w:tcPr>
            <w:tcW w:w="1417" w:type="dxa"/>
          </w:tcPr>
          <w:p w14:paraId="2B75FD08">
            <w:r>
              <w:t>11</w:t>
            </w:r>
          </w:p>
        </w:tc>
      </w:tr>
      <w:tr w14:paraId="3506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1EBB0B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8B0EF0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21c</w:t>
            </w:r>
          </w:p>
        </w:tc>
        <w:tc>
          <w:tcPr>
            <w:tcW w:w="9356" w:type="dxa"/>
          </w:tcPr>
          <w:p w14:paraId="06CE57A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missing data were handled in the analysis</w:t>
            </w:r>
          </w:p>
        </w:tc>
        <w:tc>
          <w:tcPr>
            <w:tcW w:w="1417" w:type="dxa"/>
          </w:tcPr>
          <w:p w14:paraId="5B77EF36">
            <w:r>
              <w:t>11</w:t>
            </w:r>
          </w:p>
        </w:tc>
      </w:tr>
      <w:tr w14:paraId="1498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14:paraId="507413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018E21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21d</w:t>
            </w:r>
          </w:p>
        </w:tc>
        <w:tc>
          <w:tcPr>
            <w:tcW w:w="9356" w:type="dxa"/>
          </w:tcPr>
          <w:p w14:paraId="25A70C8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Methods for any additional analyses (e.g., subgroup and sensitivity analyses), distinguishing prespecified from post-hoc</w:t>
            </w:r>
          </w:p>
        </w:tc>
        <w:tc>
          <w:tcPr>
            <w:tcW w:w="1417" w:type="dxa"/>
          </w:tcPr>
          <w:p w14:paraId="015B2E02">
            <w:r>
              <w:t>11</w:t>
            </w:r>
          </w:p>
        </w:tc>
      </w:tr>
      <w:tr w14:paraId="3F41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vAlign w:val="bottom"/>
          </w:tcPr>
          <w:p w14:paraId="42D9F967">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Results</w:t>
            </w:r>
          </w:p>
        </w:tc>
        <w:tc>
          <w:tcPr>
            <w:tcW w:w="1417" w:type="dxa"/>
            <w:shd w:val="clear" w:color="auto" w:fill="C6D9F0" w:themeFill="text2" w:themeFillTint="33"/>
          </w:tcPr>
          <w:p w14:paraId="6166F990">
            <w:pPr>
              <w:spacing w:line="240" w:lineRule="auto"/>
              <w:rPr>
                <w:rFonts w:ascii="Calibri" w:hAnsi="Calibri" w:eastAsia="Calibri" w:cs="Calibri"/>
                <w:b/>
                <w:color w:val="000000"/>
                <w:sz w:val="22"/>
                <w:szCs w:val="22"/>
                <w:lang w:val="en-GB"/>
              </w:rPr>
            </w:pPr>
          </w:p>
        </w:tc>
      </w:tr>
      <w:tr w14:paraId="510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14:paraId="5A5782B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Participant flow, including flow diagram</w:t>
            </w:r>
          </w:p>
        </w:tc>
        <w:tc>
          <w:tcPr>
            <w:tcW w:w="992" w:type="dxa"/>
          </w:tcPr>
          <w:p w14:paraId="6A3D7D9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22a</w:t>
            </w:r>
          </w:p>
        </w:tc>
        <w:tc>
          <w:tcPr>
            <w:tcW w:w="9356" w:type="dxa"/>
          </w:tcPr>
          <w:p w14:paraId="5407FA0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78E9B781">
            <w:r>
              <w:t>12</w:t>
            </w:r>
          </w:p>
        </w:tc>
      </w:tr>
      <w:tr w14:paraId="2FE6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14:paraId="5CE601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7EC31A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22b</w:t>
            </w:r>
          </w:p>
        </w:tc>
        <w:tc>
          <w:tcPr>
            <w:tcW w:w="9356" w:type="dxa"/>
          </w:tcPr>
          <w:p w14:paraId="1DDC84F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losses and exclusions after randomisation, together with reasons</w:t>
            </w:r>
          </w:p>
        </w:tc>
        <w:tc>
          <w:tcPr>
            <w:tcW w:w="1417" w:type="dxa"/>
          </w:tcPr>
          <w:p w14:paraId="483ABDAE">
            <w:r>
              <w:t>12</w:t>
            </w:r>
          </w:p>
        </w:tc>
      </w:tr>
      <w:tr w14:paraId="59CD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14:paraId="333D728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Recruitment</w:t>
            </w:r>
          </w:p>
        </w:tc>
        <w:tc>
          <w:tcPr>
            <w:tcW w:w="992" w:type="dxa"/>
          </w:tcPr>
          <w:p w14:paraId="575F7DFB">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23a</w:t>
            </w:r>
          </w:p>
        </w:tc>
        <w:tc>
          <w:tcPr>
            <w:tcW w:w="9356" w:type="dxa"/>
          </w:tcPr>
          <w:p w14:paraId="0570F75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Dates defining the periods of recruitment and follow-up for outcomes of benefits and harms</w:t>
            </w:r>
          </w:p>
        </w:tc>
        <w:tc>
          <w:tcPr>
            <w:tcW w:w="1417" w:type="dxa"/>
          </w:tcPr>
          <w:p w14:paraId="37D42443">
            <w:r>
              <w:t>12</w:t>
            </w:r>
          </w:p>
        </w:tc>
      </w:tr>
      <w:tr w14:paraId="09AF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14:paraId="2ADD83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F0DBAC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23b</w:t>
            </w:r>
          </w:p>
        </w:tc>
        <w:tc>
          <w:tcPr>
            <w:tcW w:w="9356" w:type="dxa"/>
          </w:tcPr>
          <w:p w14:paraId="1CC3415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relevant, why the trial ended or was stopped</w:t>
            </w:r>
          </w:p>
        </w:tc>
        <w:tc>
          <w:tcPr>
            <w:tcW w:w="1417" w:type="dxa"/>
          </w:tcPr>
          <w:p w14:paraId="50F69A31">
            <w:r>
              <w:t>12</w:t>
            </w:r>
          </w:p>
        </w:tc>
      </w:tr>
      <w:tr w14:paraId="6606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14:paraId="1B3138D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delivery</w:t>
            </w:r>
          </w:p>
        </w:tc>
        <w:tc>
          <w:tcPr>
            <w:tcW w:w="992" w:type="dxa"/>
          </w:tcPr>
          <w:p w14:paraId="4A5F7AF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24a</w:t>
            </w:r>
          </w:p>
        </w:tc>
        <w:tc>
          <w:tcPr>
            <w:tcW w:w="9356" w:type="dxa"/>
          </w:tcPr>
          <w:p w14:paraId="4BFDE352">
            <w:pPr>
              <w:spacing w:line="240" w:lineRule="auto"/>
              <w:rPr>
                <w:rFonts w:hint="eastAsia" w:ascii="Calibri" w:hAnsi="Calibri" w:eastAsia="宋体" w:cs="Calibri"/>
                <w:color w:val="000000"/>
                <w:sz w:val="22"/>
                <w:szCs w:val="22"/>
                <w:lang w:val="en-US" w:eastAsia="zh-CN"/>
              </w:rPr>
            </w:pPr>
            <w:r>
              <w:rPr>
                <w:rFonts w:ascii="Calibri" w:hAnsi="Calibri"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2C748787">
            <w:r>
              <w:t>13-14</w:t>
            </w:r>
          </w:p>
        </w:tc>
      </w:tr>
      <w:tr w14:paraId="0339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14:paraId="298600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4C2CFE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24b</w:t>
            </w:r>
          </w:p>
        </w:tc>
        <w:tc>
          <w:tcPr>
            <w:tcW w:w="9356" w:type="dxa"/>
          </w:tcPr>
          <w:p w14:paraId="10AE211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Concomitant care received during the trial for each group</w:t>
            </w:r>
          </w:p>
        </w:tc>
        <w:tc>
          <w:tcPr>
            <w:tcW w:w="1417" w:type="dxa"/>
          </w:tcPr>
          <w:p w14:paraId="3FE52482">
            <w:r>
              <w:t>13-14</w:t>
            </w:r>
          </w:p>
        </w:tc>
      </w:tr>
      <w:tr w14:paraId="63F6D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14:paraId="4482000C">
            <w:pPr>
              <w:spacing w:line="240" w:lineRule="auto"/>
              <w:rPr>
                <w:rFonts w:ascii="Calibri" w:hAnsi="Calibri" w:eastAsia="Calibri" w:cs="Calibri"/>
                <w:color w:val="000000"/>
                <w:sz w:val="22"/>
                <w:szCs w:val="22"/>
                <w:lang w:val="en-GB"/>
              </w:rPr>
            </w:pPr>
            <w:bookmarkStart w:id="0" w:name="_GoBack" w:colFirst="3" w:colLast="3"/>
            <w:r>
              <w:rPr>
                <w:rFonts w:ascii="Calibri" w:hAnsi="Calibri" w:eastAsia="Calibri" w:cs="Calibri"/>
                <w:color w:val="000000"/>
                <w:sz w:val="22"/>
                <w:szCs w:val="22"/>
                <w:lang w:val="en-GB"/>
              </w:rPr>
              <w:t>Baseline data</w:t>
            </w:r>
          </w:p>
        </w:tc>
        <w:tc>
          <w:tcPr>
            <w:tcW w:w="992" w:type="dxa"/>
          </w:tcPr>
          <w:p w14:paraId="4A489CE9">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25</w:t>
            </w:r>
          </w:p>
        </w:tc>
        <w:tc>
          <w:tcPr>
            <w:tcW w:w="9356" w:type="dxa"/>
          </w:tcPr>
          <w:p w14:paraId="5EB86B3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 table showing baseline demographic and clinical characteristics for each group</w:t>
            </w:r>
          </w:p>
        </w:tc>
        <w:tc>
          <w:tcPr>
            <w:tcW w:w="1417" w:type="dxa"/>
          </w:tcPr>
          <w:p w14:paraId="0718F1CF">
            <w:pPr>
              <w:rPr>
                <w:rFonts w:hint="default" w:eastAsia="宋体"/>
                <w:lang w:val="en-US" w:eastAsia="zh-CN"/>
              </w:rPr>
            </w:pPr>
            <w:r>
              <w:rPr>
                <w:rFonts w:hint="eastAsia" w:eastAsia="宋体"/>
                <w:lang w:val="en-US" w:eastAsia="zh-CN"/>
              </w:rPr>
              <w:t>26</w:t>
            </w:r>
          </w:p>
        </w:tc>
      </w:tr>
      <w:tr w14:paraId="7EA4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10F375E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Numbers analysed, </w:t>
            </w:r>
          </w:p>
          <w:p w14:paraId="66FE5FD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 and estimation</w:t>
            </w:r>
          </w:p>
        </w:tc>
        <w:tc>
          <w:tcPr>
            <w:tcW w:w="992" w:type="dxa"/>
          </w:tcPr>
          <w:p w14:paraId="47AF241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26</w:t>
            </w:r>
          </w:p>
        </w:tc>
        <w:tc>
          <w:tcPr>
            <w:tcW w:w="9356" w:type="dxa"/>
          </w:tcPr>
          <w:p w14:paraId="2508DC5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For each primary and secondary outcome, by group: </w:t>
            </w:r>
          </w:p>
          <w:p w14:paraId="5FFA398B">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the number of participants included in the analysis </w:t>
            </w:r>
          </w:p>
          <w:p w14:paraId="1D7E62F7">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the number of participants with available data at the outcome time point</w:t>
            </w:r>
          </w:p>
          <w:p w14:paraId="14A74C90">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result for each group, and the estimated effect size and its precision (such as 95% confidence interval) </w:t>
            </w:r>
          </w:p>
          <w:p w14:paraId="7130F7F1">
            <w:pPr>
              <w:numPr>
                <w:ilvl w:val="0"/>
                <w:numId w:val="1"/>
              </w:numPr>
              <w:spacing w:after="160" w:line="240" w:lineRule="auto"/>
              <w:rPr>
                <w:color w:val="000000"/>
                <w:sz w:val="22"/>
                <w:szCs w:val="22"/>
                <w:lang w:val="en-GB"/>
              </w:rPr>
            </w:pPr>
            <w:r>
              <w:rPr>
                <w:rFonts w:ascii="Calibri" w:hAnsi="Calibri" w:eastAsia="Calibri" w:cs="Calibri"/>
                <w:color w:val="000000"/>
                <w:sz w:val="22"/>
                <w:szCs w:val="22"/>
                <w:lang w:val="en-GB"/>
              </w:rPr>
              <w:t xml:space="preserve">for binary outcomes, presentation of both absolute and relative effect size </w:t>
            </w:r>
          </w:p>
        </w:tc>
        <w:tc>
          <w:tcPr>
            <w:tcW w:w="1417" w:type="dxa"/>
          </w:tcPr>
          <w:p w14:paraId="4389FA0E">
            <w:r>
              <w:t>13-18</w:t>
            </w:r>
          </w:p>
        </w:tc>
      </w:tr>
      <w:bookmarkEnd w:id="0"/>
      <w:tr w14:paraId="313A3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4" w:hRule="atLeast"/>
        </w:trPr>
        <w:tc>
          <w:tcPr>
            <w:tcW w:w="2547" w:type="dxa"/>
          </w:tcPr>
          <w:p w14:paraId="1316CD2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6CC8A50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27</w:t>
            </w:r>
          </w:p>
        </w:tc>
        <w:tc>
          <w:tcPr>
            <w:tcW w:w="9356" w:type="dxa"/>
          </w:tcPr>
          <w:p w14:paraId="687024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All harms or unintended events in each group </w:t>
            </w:r>
          </w:p>
        </w:tc>
        <w:tc>
          <w:tcPr>
            <w:tcW w:w="1417" w:type="dxa"/>
          </w:tcPr>
          <w:p w14:paraId="1AA66506">
            <w:r>
              <w:t>18</w:t>
            </w:r>
          </w:p>
        </w:tc>
      </w:tr>
      <w:tr w14:paraId="16C7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216037D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Ancillary analyses</w:t>
            </w:r>
          </w:p>
        </w:tc>
        <w:tc>
          <w:tcPr>
            <w:tcW w:w="992" w:type="dxa"/>
          </w:tcPr>
          <w:p w14:paraId="034AD55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28</w:t>
            </w:r>
          </w:p>
        </w:tc>
        <w:tc>
          <w:tcPr>
            <w:tcW w:w="9356" w:type="dxa"/>
          </w:tcPr>
          <w:p w14:paraId="68E7918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Any other analyses performed, including subgroup and sensitivity analyses, distinguishing pre-specified from post-hoc</w:t>
            </w:r>
          </w:p>
        </w:tc>
        <w:tc>
          <w:tcPr>
            <w:tcW w:w="1417" w:type="dxa"/>
          </w:tcPr>
          <w:p w14:paraId="3D6CA68A">
            <w:r>
              <w:t>18</w:t>
            </w:r>
          </w:p>
        </w:tc>
      </w:tr>
      <w:tr w14:paraId="1751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7D072CE0">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Discussion</w:t>
            </w:r>
          </w:p>
        </w:tc>
        <w:tc>
          <w:tcPr>
            <w:tcW w:w="1417" w:type="dxa"/>
            <w:shd w:val="clear" w:color="auto" w:fill="C6D9F0" w:themeFill="text2" w:themeFillTint="33"/>
          </w:tcPr>
          <w:p w14:paraId="13D65609">
            <w:pPr>
              <w:spacing w:line="240" w:lineRule="auto"/>
              <w:rPr>
                <w:rFonts w:ascii="Calibri" w:hAnsi="Calibri" w:eastAsia="Calibri" w:cs="Calibri"/>
                <w:b/>
                <w:color w:val="000000"/>
                <w:sz w:val="22"/>
                <w:szCs w:val="22"/>
                <w:lang w:val="en-GB"/>
              </w:rPr>
            </w:pPr>
          </w:p>
        </w:tc>
      </w:tr>
      <w:tr w14:paraId="56AC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BDFB8E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w:t>
            </w:r>
          </w:p>
        </w:tc>
        <w:tc>
          <w:tcPr>
            <w:tcW w:w="992" w:type="dxa"/>
          </w:tcPr>
          <w:p w14:paraId="40C527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29</w:t>
            </w:r>
          </w:p>
        </w:tc>
        <w:tc>
          <w:tcPr>
            <w:tcW w:w="9356" w:type="dxa"/>
          </w:tcPr>
          <w:p w14:paraId="6689FC9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 consistent with results, balancing benefits and harms, and considering other relevant evidence</w:t>
            </w:r>
          </w:p>
        </w:tc>
        <w:tc>
          <w:tcPr>
            <w:tcW w:w="1417" w:type="dxa"/>
          </w:tcPr>
          <w:p w14:paraId="0125AD17">
            <w:r>
              <w:t>15-19</w:t>
            </w:r>
          </w:p>
        </w:tc>
      </w:tr>
      <w:tr w14:paraId="2928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A291D8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Limitations</w:t>
            </w:r>
          </w:p>
        </w:tc>
        <w:tc>
          <w:tcPr>
            <w:tcW w:w="992" w:type="dxa"/>
          </w:tcPr>
          <w:p w14:paraId="065DB4E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30</w:t>
            </w:r>
          </w:p>
        </w:tc>
        <w:tc>
          <w:tcPr>
            <w:tcW w:w="9356" w:type="dxa"/>
          </w:tcPr>
          <w:p w14:paraId="53F2EAD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limitations, addressing sources of potential bias, imprecision, generalisability, and, if relevant, multiplicity of analyses</w:t>
            </w:r>
          </w:p>
        </w:tc>
        <w:tc>
          <w:tcPr>
            <w:tcW w:w="1417" w:type="dxa"/>
          </w:tcPr>
          <w:p w14:paraId="499E7648">
            <w:r>
              <w:t>19</w:t>
            </w:r>
          </w:p>
        </w:tc>
      </w:tr>
    </w:tbl>
    <w:p w14:paraId="306C2FFA">
      <w:pPr>
        <w:spacing w:line="240" w:lineRule="auto"/>
        <w:rPr>
          <w:rFonts w:ascii="Calibri" w:hAnsi="Calibri" w:cs="Calibri"/>
          <w:b/>
          <w:sz w:val="22"/>
          <w:szCs w:val="22"/>
          <w:lang w:val="en-GB"/>
        </w:rPr>
      </w:pPr>
    </w:p>
    <w:p w14:paraId="7222F6F7">
      <w:pPr>
        <w:pStyle w:val="39"/>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14:paraId="42695FFC">
      <w:pPr>
        <w:spacing w:line="240" w:lineRule="auto"/>
        <w:rPr>
          <w:rFonts w:ascii="Calibri" w:hAnsi="Calibri" w:cs="Calibri"/>
          <w:b/>
          <w:sz w:val="20"/>
          <w:szCs w:val="20"/>
          <w:lang w:val="en-GB"/>
        </w:rPr>
      </w:pPr>
    </w:p>
    <w:p w14:paraId="510D033D">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14:paraId="0B985716">
      <w:pPr>
        <w:pStyle w:val="39"/>
        <w:tabs>
          <w:tab w:val="left" w:pos="4830"/>
        </w:tabs>
        <w:spacing w:line="240" w:lineRule="auto"/>
        <w:rPr>
          <w:rFonts w:ascii="Calibri" w:hAnsi="Calibri" w:cs="Calibri"/>
          <w:sz w:val="20"/>
        </w:rPr>
      </w:pPr>
      <w:r>
        <w:rPr>
          <w:rFonts w:ascii="Calibri" w:hAnsi="Calibri" w:cs="Calibri"/>
          <w:sz w:val="20"/>
        </w:rPr>
        <w:br w:type="textWrapping"/>
      </w: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NotDisplayPageBoundaries w:val="1"/>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16C50C80"/>
    <w:rsid w:val="1ECE699F"/>
    <w:rsid w:val="24073FAC"/>
    <w:rsid w:val="3AA974C9"/>
    <w:rsid w:val="4FCC21D8"/>
    <w:rsid w:val="6647053C"/>
    <w:rsid w:val="7DD927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25"/>
    <w:unhideWhenUsed/>
    <w:qFormat/>
    <w:uiPriority w:val="99"/>
    <w:pPr>
      <w:spacing w:line="240" w:lineRule="auto"/>
    </w:pPr>
    <w:rPr>
      <w:sz w:val="20"/>
      <w:szCs w:val="20"/>
    </w:rPr>
  </w:style>
  <w:style w:type="paragraph" w:styleId="9">
    <w:name w:val="Balloon Text"/>
    <w:basedOn w:val="1"/>
    <w:link w:val="33"/>
    <w:semiHidden/>
    <w:unhideWhenUsed/>
    <w:qFormat/>
    <w:uiPriority w:val="99"/>
    <w:pPr>
      <w:spacing w:line="240" w:lineRule="auto"/>
    </w:pPr>
    <w:rPr>
      <w:rFonts w:ascii="Segoe UI" w:hAnsi="Segoe UI" w:cs="Segoe UI"/>
      <w:sz w:val="18"/>
      <w:szCs w:val="18"/>
    </w:rPr>
  </w:style>
  <w:style w:type="paragraph" w:styleId="10">
    <w:name w:val="footer"/>
    <w:basedOn w:val="1"/>
    <w:link w:val="36"/>
    <w:unhideWhenUsed/>
    <w:qFormat/>
    <w:uiPriority w:val="99"/>
    <w:pPr>
      <w:tabs>
        <w:tab w:val="center" w:pos="4513"/>
        <w:tab w:val="right" w:pos="9026"/>
      </w:tabs>
      <w:spacing w:line="240" w:lineRule="auto"/>
    </w:pPr>
  </w:style>
  <w:style w:type="paragraph" w:styleId="11">
    <w:name w:val="header"/>
    <w:basedOn w:val="1"/>
    <w:link w:val="35"/>
    <w:unhideWhenUsed/>
    <w:qFormat/>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qFormat/>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qFormat/>
    <w:uiPriority w:val="99"/>
    <w:rPr>
      <w:b/>
      <w:bCs/>
    </w:rPr>
  </w:style>
  <w:style w:type="table" w:styleId="17">
    <w:name w:val="Table Grid"/>
    <w:basedOn w:val="16"/>
    <w:qFormat/>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qFormat/>
    <w:uiPriority w:val="99"/>
    <w:rPr>
      <w:color w:val="800080" w:themeColor="followedHyperlink"/>
      <w:u w:val="single"/>
      <w14:textFill>
        <w14:solidFill>
          <w14:schemeClr w14:val="folHlink"/>
        </w14:solidFill>
      </w14:textFill>
    </w:rPr>
  </w:style>
  <w:style w:type="character" w:styleId="20">
    <w:name w:val="Hyperlink"/>
    <w:qFormat/>
    <w:uiPriority w:val="0"/>
    <w:rPr>
      <w:color w:val="CC0000"/>
      <w:u w:val="single"/>
    </w:rPr>
  </w:style>
  <w:style w:type="character" w:styleId="21">
    <w:name w:val="annotation reference"/>
    <w:basedOn w:val="18"/>
    <w:semiHidden/>
    <w:unhideWhenUsed/>
    <w:qFormat/>
    <w:uiPriority w:val="99"/>
    <w:rPr>
      <w:sz w:val="16"/>
      <w:szCs w:val="16"/>
    </w:rPr>
  </w:style>
  <w:style w:type="table" w:customStyle="1" w:styleId="22">
    <w:name w:val="_Style 11"/>
    <w:basedOn w:val="16"/>
    <w:qFormat/>
    <w:uiPriority w:val="0"/>
    <w:pPr>
      <w:spacing w:line="240" w:lineRule="auto"/>
    </w:pPr>
  </w:style>
  <w:style w:type="table" w:customStyle="1" w:styleId="23">
    <w:name w:val="_Style 12"/>
    <w:basedOn w:val="16"/>
    <w:qFormat/>
    <w:uiPriority w:val="0"/>
    <w:tblPr>
      <w:tblCellMar>
        <w:left w:w="115" w:type="dxa"/>
        <w:right w:w="115" w:type="dxa"/>
      </w:tblCellMar>
    </w:tblPr>
  </w:style>
  <w:style w:type="table" w:customStyle="1" w:styleId="24">
    <w:name w:val="_Style 13"/>
    <w:basedOn w:val="16"/>
    <w:qFormat/>
    <w:uiPriority w:val="0"/>
    <w:tblPr>
      <w:tblCellMar>
        <w:left w:w="115" w:type="dxa"/>
        <w:right w:w="115" w:type="dxa"/>
      </w:tblCellMar>
    </w:tblPr>
  </w:style>
  <w:style w:type="character" w:customStyle="1" w:styleId="25">
    <w:name w:val="Comment Text Char"/>
    <w:basedOn w:val="18"/>
    <w:link w:val="8"/>
    <w:qFormat/>
    <w:uiPriority w:val="99"/>
    <w:rPr>
      <w:sz w:val="20"/>
      <w:szCs w:val="20"/>
    </w:rPr>
  </w:style>
  <w:style w:type="character" w:customStyle="1" w:styleId="26">
    <w:name w:val="Comment Subject Char"/>
    <w:basedOn w:val="25"/>
    <w:link w:val="15"/>
    <w:semiHidden/>
    <w:qFormat/>
    <w:uiPriority w:val="99"/>
    <w:rPr>
      <w:b/>
      <w:bCs/>
      <w:sz w:val="20"/>
      <w:szCs w:val="20"/>
    </w:rPr>
  </w:style>
  <w:style w:type="paragraph" w:customStyle="1" w:styleId="27">
    <w:name w:val="EndNote Bibliography Title"/>
    <w:basedOn w:val="1"/>
    <w:link w:val="28"/>
    <w:qFormat/>
    <w:uiPriority w:val="0"/>
    <w:pPr>
      <w:jc w:val="center"/>
    </w:pPr>
    <w:rPr>
      <w:lang w:val="en-GB"/>
    </w:rPr>
  </w:style>
  <w:style w:type="character" w:customStyle="1" w:styleId="28">
    <w:name w:val="EndNote Bibliography Title Char"/>
    <w:basedOn w:val="18"/>
    <w:link w:val="27"/>
    <w:qFormat/>
    <w:uiPriority w:val="0"/>
    <w:rPr>
      <w:lang w:val="en-GB"/>
    </w:rPr>
  </w:style>
  <w:style w:type="paragraph" w:customStyle="1" w:styleId="29">
    <w:name w:val="EndNote Bibliography"/>
    <w:basedOn w:val="1"/>
    <w:link w:val="30"/>
    <w:qFormat/>
    <w:uiPriority w:val="0"/>
    <w:pPr>
      <w:spacing w:line="240" w:lineRule="auto"/>
    </w:pPr>
    <w:rPr>
      <w:lang w:val="en-GB"/>
    </w:rPr>
  </w:style>
  <w:style w:type="character" w:customStyle="1" w:styleId="30">
    <w:name w:val="EndNote Bibliography Char"/>
    <w:basedOn w:val="18"/>
    <w:link w:val="29"/>
    <w:qFormat/>
    <w:uiPriority w:val="0"/>
    <w:rPr>
      <w:lang w:val="en-GB"/>
    </w:rPr>
  </w:style>
  <w:style w:type="character" w:customStyle="1" w:styleId="31">
    <w:name w:val="Unresolved Mention"/>
    <w:basedOn w:val="18"/>
    <w:semiHidden/>
    <w:unhideWhenUsed/>
    <w:qFormat/>
    <w:uiPriority w:val="99"/>
    <w:rPr>
      <w:color w:val="605E5C"/>
      <w:shd w:val="clear" w:color="auto" w:fill="E1DFDD"/>
    </w:rPr>
  </w:style>
  <w:style w:type="character" w:customStyle="1" w:styleId="32">
    <w:name w:val="cf01"/>
    <w:basedOn w:val="18"/>
    <w:qFormat/>
    <w:uiPriority w:val="0"/>
    <w:rPr>
      <w:rFonts w:hint="default" w:ascii="Segoe UI" w:hAnsi="Segoe UI" w:cs="Segoe UI"/>
      <w:sz w:val="18"/>
      <w:szCs w:val="18"/>
    </w:rPr>
  </w:style>
  <w:style w:type="character" w:customStyle="1" w:styleId="33">
    <w:name w:val="Balloon Text Char"/>
    <w:basedOn w:val="18"/>
    <w:link w:val="9"/>
    <w:semiHidden/>
    <w:qFormat/>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qFormat/>
    <w:uiPriority w:val="99"/>
  </w:style>
  <w:style w:type="character" w:customStyle="1" w:styleId="36">
    <w:name w:val="Footer Char"/>
    <w:basedOn w:val="18"/>
    <w:link w:val="10"/>
    <w:qFormat/>
    <w:uiPriority w:val="99"/>
  </w:style>
  <w:style w:type="paragraph" w:customStyle="1" w:styleId="37">
    <w:name w:val="Revision"/>
    <w:hidden/>
    <w:semiHidden/>
    <w:qFormat/>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qFormat/>
    <w:uiPriority w:val="0"/>
  </w:style>
  <w:style w:type="paragraph" w:customStyle="1" w:styleId="39">
    <w:name w:val="TableNote"/>
    <w:basedOn w:val="1"/>
    <w:qFormat/>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4</Pages>
  <Words>937</Words>
  <Characters>5705</Characters>
  <Lines>48</Lines>
  <Paragraphs>13</Paragraphs>
  <TotalTime>174</TotalTime>
  <ScaleCrop>false</ScaleCrop>
  <LinksUpToDate>false</LinksUpToDate>
  <CharactersWithSpaces>6480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蔡雨琦</cp:lastModifiedBy>
  <cp:lastPrinted>2024-03-26T08:52:00Z</cp:lastPrinted>
  <dcterms:modified xsi:type="dcterms:W3CDTF">2026-05-27T03:11:50Z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eyJoZGlkIjoiYmEyZDMxNWRkYmY5MjE3NjUxYTk3ZDA1NDUyNmVkYWEiLCJ1c2VySWQiOiI2MjA1MzMzNTUifQ==</vt:lpwstr>
  </property>
  <property fmtid="{D5CDD505-2E9C-101B-9397-08002B2CF9AE}" pid="3" name="KSOProductBuildVer">
    <vt:lpwstr>2052-12.1.0.21915</vt:lpwstr>
  </property>
  <property fmtid="{D5CDD505-2E9C-101B-9397-08002B2CF9AE}" pid="4" name="ICV">
    <vt:lpwstr>B8EEDD6C5180401683B2D97E394FF4A5_13</vt:lpwstr>
  </property>
</Properties>
</file>