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5C3CF" w14:textId="77777777" w:rsidR="00AC0911" w:rsidRDefault="00AC0911" w:rsidP="00AC0911">
      <w:pPr>
        <w:jc w:val="center"/>
        <w:rPr>
          <w:rFonts w:cs="Arial"/>
          <w:b/>
          <w:bCs/>
        </w:rPr>
      </w:pPr>
      <w:r w:rsidRPr="00084779">
        <w:rPr>
          <w:rFonts w:cs="Arial"/>
          <w:b/>
          <w:bCs/>
        </w:rPr>
        <w:t>Quorum Quenching Lactonase SsoPox Ameliorates DSS-Induced Colitis</w:t>
      </w:r>
    </w:p>
    <w:p w14:paraId="3A43397B" w14:textId="2E2410B9" w:rsidR="00AC0911" w:rsidRPr="00084779" w:rsidRDefault="00AC0911" w:rsidP="00AC0911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Supplementary Figures</w:t>
      </w:r>
    </w:p>
    <w:p w14:paraId="05D598F8" w14:textId="77777777" w:rsidR="00AC0911" w:rsidRDefault="00AC0911" w:rsidP="00AC0911">
      <w:pPr>
        <w:rPr>
          <w:vertAlign w:val="superscript"/>
        </w:rPr>
      </w:pPr>
      <w:bookmarkStart w:id="0" w:name="_Hlk224308414"/>
      <w:r>
        <w:t>Matthew Dietz</w:t>
      </w:r>
      <w:r>
        <w:rPr>
          <w:vertAlign w:val="superscript"/>
        </w:rPr>
        <w:t>1,2,*</w:t>
      </w:r>
      <w:r>
        <w:t>, Zachary Ziegert</w:t>
      </w:r>
      <w:r>
        <w:rPr>
          <w:vertAlign w:val="superscript"/>
        </w:rPr>
        <w:t>1,2,*</w:t>
      </w:r>
      <w:r>
        <w:t>, Maria Martell</w:t>
      </w:r>
      <w:r>
        <w:rPr>
          <w:vertAlign w:val="superscript"/>
        </w:rPr>
        <w:t>1,2</w:t>
      </w:r>
      <w:r>
        <w:t>, Marjais McBride</w:t>
      </w:r>
      <w:r>
        <w:rPr>
          <w:vertAlign w:val="superscript"/>
        </w:rPr>
        <w:t>1,2</w:t>
      </w:r>
      <w:r>
        <w:t>, Rakesh Sikdar</w:t>
      </w:r>
      <w:r>
        <w:rPr>
          <w:vertAlign w:val="superscript"/>
        </w:rPr>
        <w:t>2,3</w:t>
      </w:r>
      <w:r>
        <w:t>, Cyrus Jahansouz</w:t>
      </w:r>
      <w:r>
        <w:rPr>
          <w:vertAlign w:val="superscript"/>
        </w:rPr>
        <w:t>4</w:t>
      </w:r>
      <w:r>
        <w:t>, Subbaya Subramanian</w:t>
      </w:r>
      <w:r>
        <w:rPr>
          <w:vertAlign w:val="superscript"/>
        </w:rPr>
        <w:t>1,5,6</w:t>
      </w:r>
      <w:r>
        <w:t>, Mikael Elias</w:t>
      </w:r>
      <w:r>
        <w:rPr>
          <w:vertAlign w:val="superscript"/>
        </w:rPr>
        <w:t>2,3</w:t>
      </w:r>
      <w:r>
        <w:t>, Christopher Staley</w:t>
      </w:r>
      <w:r>
        <w:rPr>
          <w:vertAlign w:val="superscript"/>
        </w:rPr>
        <w:t>1,2,6,#</w:t>
      </w:r>
    </w:p>
    <w:bookmarkEnd w:id="0"/>
    <w:p w14:paraId="6E5A217B" w14:textId="77777777" w:rsidR="00AC0911" w:rsidRPr="0079514A" w:rsidRDefault="00AC0911" w:rsidP="00AC0911">
      <w:pPr>
        <w:spacing w:line="240" w:lineRule="auto"/>
        <w:rPr>
          <w:vertAlign w:val="superscript"/>
        </w:rPr>
      </w:pPr>
      <w:r w:rsidRPr="0079514A">
        <w:rPr>
          <w:vertAlign w:val="superscript"/>
        </w:rPr>
        <w:t xml:space="preserve">1 </w:t>
      </w:r>
      <w:r w:rsidRPr="0079514A">
        <w:t>Division of Basic and Translational Research, Department of Surgery, University of Minnesota, Minneapolis, Minnesota, USA</w:t>
      </w:r>
      <w:r w:rsidRPr="0079514A">
        <w:rPr>
          <w:vertAlign w:val="superscript"/>
        </w:rPr>
        <w:t xml:space="preserve"> </w:t>
      </w:r>
    </w:p>
    <w:p w14:paraId="12C35F27" w14:textId="77777777" w:rsidR="00AC0911" w:rsidRPr="0079514A" w:rsidRDefault="00AC0911" w:rsidP="00AC0911">
      <w:pPr>
        <w:spacing w:line="240" w:lineRule="auto"/>
        <w:rPr>
          <w:vertAlign w:val="superscript"/>
        </w:rPr>
      </w:pPr>
      <w:r w:rsidRPr="0079514A">
        <w:rPr>
          <w:vertAlign w:val="superscript"/>
        </w:rPr>
        <w:t xml:space="preserve">2 </w:t>
      </w:r>
      <w:r w:rsidRPr="0079514A">
        <w:t>BioTechnology Institute,</w:t>
      </w:r>
      <w:r>
        <w:t xml:space="preserve"> </w:t>
      </w:r>
      <w:r w:rsidRPr="0079514A">
        <w:t>University of Minnesota, St. Paul, Minnesota, USA</w:t>
      </w:r>
      <w:r w:rsidRPr="0079514A">
        <w:rPr>
          <w:vertAlign w:val="superscript"/>
        </w:rPr>
        <w:t xml:space="preserve"> </w:t>
      </w:r>
    </w:p>
    <w:p w14:paraId="6C260B32" w14:textId="77777777" w:rsidR="00AC0911" w:rsidRDefault="00AC0911" w:rsidP="00AC0911">
      <w:pPr>
        <w:spacing w:line="240" w:lineRule="auto"/>
        <w:rPr>
          <w:vertAlign w:val="superscript"/>
        </w:rPr>
      </w:pPr>
      <w:r w:rsidRPr="0079514A">
        <w:rPr>
          <w:vertAlign w:val="superscript"/>
        </w:rPr>
        <w:t xml:space="preserve">3 </w:t>
      </w:r>
      <w:r w:rsidRPr="0079514A">
        <w:t>Department of Biochemistry, Molecular Biology, and Biophysics, University of Minnesota, St. Paul, Minnesota, USA</w:t>
      </w:r>
      <w:r w:rsidRPr="0079514A">
        <w:rPr>
          <w:vertAlign w:val="superscript"/>
        </w:rPr>
        <w:t xml:space="preserve"> </w:t>
      </w:r>
    </w:p>
    <w:p w14:paraId="0A886791" w14:textId="77777777" w:rsidR="00AC0911" w:rsidRPr="00333B9D" w:rsidRDefault="00AC0911" w:rsidP="00AC0911">
      <w:pPr>
        <w:spacing w:line="240" w:lineRule="auto"/>
      </w:pPr>
      <w:r>
        <w:rPr>
          <w:vertAlign w:val="superscript"/>
        </w:rPr>
        <w:t>4</w:t>
      </w:r>
      <w:r>
        <w:t xml:space="preserve"> Division of Colon and Rectal Surgery, Department of Surgery, University of Minnesota, Minneapolis, Minnesota, USA</w:t>
      </w:r>
    </w:p>
    <w:p w14:paraId="2DF9D675" w14:textId="77777777" w:rsidR="00AC0911" w:rsidRPr="0079514A" w:rsidRDefault="00AC0911" w:rsidP="00AC0911">
      <w:pPr>
        <w:spacing w:line="240" w:lineRule="auto"/>
        <w:rPr>
          <w:vertAlign w:val="superscript"/>
        </w:rPr>
      </w:pPr>
      <w:r>
        <w:rPr>
          <w:vertAlign w:val="superscript"/>
        </w:rPr>
        <w:t>5</w:t>
      </w:r>
      <w:r w:rsidRPr="0079514A">
        <w:rPr>
          <w:vertAlign w:val="superscript"/>
        </w:rPr>
        <w:t xml:space="preserve"> </w:t>
      </w:r>
      <w:r w:rsidRPr="0079514A">
        <w:t>Department of Pharmacology, University of Minnesota Medical School, Minneapolis, Minnesota,USA</w:t>
      </w:r>
      <w:r w:rsidRPr="0079514A">
        <w:rPr>
          <w:vertAlign w:val="superscript"/>
        </w:rPr>
        <w:t xml:space="preserve"> </w:t>
      </w:r>
    </w:p>
    <w:p w14:paraId="64A5037E" w14:textId="77777777" w:rsidR="00AC0911" w:rsidRDefault="00AC0911" w:rsidP="00AC0911">
      <w:pPr>
        <w:spacing w:line="240" w:lineRule="auto"/>
      </w:pPr>
      <w:r>
        <w:rPr>
          <w:vertAlign w:val="superscript"/>
        </w:rPr>
        <w:t>6</w:t>
      </w:r>
      <w:r w:rsidRPr="0079514A">
        <w:rPr>
          <w:vertAlign w:val="superscript"/>
        </w:rPr>
        <w:t xml:space="preserve"> </w:t>
      </w:r>
      <w:r w:rsidRPr="0079514A">
        <w:t>Masonic Cancer Center,</w:t>
      </w:r>
      <w:r>
        <w:t xml:space="preserve"> </w:t>
      </w:r>
      <w:r w:rsidRPr="0079514A">
        <w:t>University of Minnesota, Minneapolis, Minnesota, USA</w:t>
      </w:r>
    </w:p>
    <w:p w14:paraId="2983F36F" w14:textId="77777777" w:rsidR="00AC0911" w:rsidRPr="00DB2379" w:rsidRDefault="00AC0911" w:rsidP="00AC0911">
      <w:pPr>
        <w:spacing w:before="240" w:line="240" w:lineRule="auto"/>
      </w:pPr>
      <w:r>
        <w:rPr>
          <w:vertAlign w:val="superscript"/>
        </w:rPr>
        <w:t>*</w:t>
      </w:r>
      <w:r>
        <w:t>Authors contributed equally to this work.</w:t>
      </w:r>
    </w:p>
    <w:p w14:paraId="461EAA10" w14:textId="77777777" w:rsidR="00AC0911" w:rsidRDefault="00AC0911" w:rsidP="00AC0911">
      <w:pPr>
        <w:spacing w:before="360" w:line="240" w:lineRule="auto"/>
      </w:pPr>
      <w:r>
        <w:rPr>
          <w:b/>
          <w:bCs/>
          <w:vertAlign w:val="superscript"/>
        </w:rPr>
        <w:t>#</w:t>
      </w:r>
      <w:r>
        <w:rPr>
          <w:b/>
          <w:bCs/>
        </w:rPr>
        <w:t>Correspondence:</w:t>
      </w:r>
      <w:r>
        <w:rPr>
          <w:b/>
          <w:bCs/>
        </w:rPr>
        <w:br/>
      </w:r>
      <w:r>
        <w:t>Christopher Staley, Ph.D.</w:t>
      </w:r>
      <w:r>
        <w:br/>
        <w:t>Division of Basic &amp; Translation Research</w:t>
      </w:r>
      <w:r>
        <w:br/>
        <w:t>Department of Surgery</w:t>
      </w:r>
      <w:r>
        <w:br/>
        <w:t>University of Minnesota</w:t>
      </w:r>
      <w:r>
        <w:br/>
      </w:r>
      <w:r>
        <w:br/>
        <w:t>420 Delaware St, SE</w:t>
      </w:r>
      <w:r>
        <w:br/>
        <w:t>Minneapolis, MN 55455</w:t>
      </w:r>
      <w:r>
        <w:br/>
        <w:t>612-625-8831</w:t>
      </w:r>
      <w:r>
        <w:br/>
        <w:t>cmstaley@umn.edu</w:t>
      </w:r>
    </w:p>
    <w:p w14:paraId="2D156DE5" w14:textId="77777777" w:rsidR="00AC0911" w:rsidRDefault="00AC0911">
      <w:pPr>
        <w:sectPr w:rsidR="00AC091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2DBD1F" w14:textId="79EACFAC" w:rsidR="005C2F64" w:rsidRDefault="005C2F64"/>
    <w:p w14:paraId="4B9A383C" w14:textId="13F64DF2" w:rsidR="005B5269" w:rsidRDefault="00512864" w:rsidP="00832FF9">
      <w:pPr>
        <w:rPr>
          <w:rFonts w:ascii="Arial" w:hAnsi="Arial" w:cs="Arial"/>
        </w:rPr>
      </w:pPr>
      <w:r w:rsidRPr="00512864">
        <w:rPr>
          <w:rFonts w:ascii="Arial" w:hAnsi="Arial" w:cs="Arial"/>
          <w:b/>
          <w:bCs/>
        </w:rPr>
        <w:drawing>
          <wp:inline distT="0" distB="0" distL="0" distR="0" wp14:anchorId="6B1902E5" wp14:editId="0A5F0260">
            <wp:extent cx="5943600" cy="5416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FF9" w:rsidRPr="00832FF9">
        <w:rPr>
          <w:rFonts w:ascii="Arial" w:hAnsi="Arial" w:cs="Arial"/>
          <w:b/>
          <w:bCs/>
        </w:rPr>
        <w:t xml:space="preserve">Supplementary Figure </w:t>
      </w:r>
      <w:r w:rsidR="00E3207B">
        <w:rPr>
          <w:rFonts w:ascii="Arial" w:hAnsi="Arial" w:cs="Arial"/>
          <w:b/>
          <w:bCs/>
        </w:rPr>
        <w:t>S</w:t>
      </w:r>
      <w:r w:rsidR="00832FF9" w:rsidRPr="00832FF9">
        <w:rPr>
          <w:rFonts w:ascii="Arial" w:hAnsi="Arial" w:cs="Arial"/>
          <w:b/>
          <w:bCs/>
        </w:rPr>
        <w:t xml:space="preserve">1. </w:t>
      </w:r>
      <w:r w:rsidR="00832FF9" w:rsidRPr="00832FF9">
        <w:rPr>
          <w:rFonts w:ascii="Arial" w:hAnsi="Arial" w:cs="Arial"/>
        </w:rPr>
        <w:t>Box and whisker plots of predominant taxa whose relative abundances differed between 1mg/mL SsoPox-treated mice and their respective controls</w:t>
      </w:r>
      <w:r w:rsidR="00832FF9">
        <w:rPr>
          <w:rFonts w:ascii="Arial" w:hAnsi="Arial" w:cs="Arial"/>
        </w:rPr>
        <w:t>. Male mice are denoted with solid lines, female mice with dotted lines</w:t>
      </w:r>
      <w:r w:rsidR="00832FF9" w:rsidRPr="00832FF9">
        <w:rPr>
          <w:rFonts w:ascii="Arial" w:hAnsi="Arial" w:cs="Arial"/>
        </w:rPr>
        <w:t xml:space="preserve">. (A-C) The relative abundances of </w:t>
      </w:r>
      <w:r w:rsidR="00832FF9" w:rsidRPr="00832FF9">
        <w:rPr>
          <w:rFonts w:ascii="Arial" w:hAnsi="Arial" w:cs="Arial"/>
          <w:i/>
          <w:iCs/>
        </w:rPr>
        <w:t>Lactobacillus</w:t>
      </w:r>
      <w:r w:rsidR="00832FF9" w:rsidRPr="00832FF9">
        <w:rPr>
          <w:rFonts w:ascii="Arial" w:hAnsi="Arial" w:cs="Arial"/>
        </w:rPr>
        <w:t xml:space="preserve">, </w:t>
      </w:r>
      <w:r w:rsidR="00832FF9" w:rsidRPr="00832FF9">
        <w:rPr>
          <w:rFonts w:ascii="Arial" w:hAnsi="Arial" w:cs="Arial"/>
          <w:i/>
          <w:iCs/>
        </w:rPr>
        <w:t>Paramuribaculum</w:t>
      </w:r>
      <w:r w:rsidR="00832FF9" w:rsidRPr="00832FF9">
        <w:rPr>
          <w:rFonts w:ascii="Arial" w:hAnsi="Arial" w:cs="Arial"/>
        </w:rPr>
        <w:t xml:space="preserve">, and </w:t>
      </w:r>
      <w:r w:rsidR="00832FF9" w:rsidRPr="00832FF9">
        <w:rPr>
          <w:rFonts w:ascii="Arial" w:hAnsi="Arial" w:cs="Arial"/>
          <w:i/>
          <w:iCs/>
        </w:rPr>
        <w:t>Bifidobacterium</w:t>
      </w:r>
      <w:r w:rsidR="00832FF9" w:rsidRPr="00832FF9">
        <w:rPr>
          <w:rFonts w:ascii="Arial" w:hAnsi="Arial" w:cs="Arial"/>
        </w:rPr>
        <w:t xml:space="preserve"> differed between male SsoPox-treated mice and their controls after three weeks of treatment. (D) Muribaculaceae was more abundant in SsoPox-treated males at endpoint. (E</w:t>
      </w:r>
      <w:r w:rsidR="00E3207B">
        <w:rPr>
          <w:rFonts w:ascii="Arial" w:hAnsi="Arial" w:cs="Arial"/>
        </w:rPr>
        <w:t>-F</w:t>
      </w:r>
      <w:r w:rsidR="00832FF9" w:rsidRPr="00832FF9">
        <w:rPr>
          <w:rFonts w:ascii="Arial" w:hAnsi="Arial" w:cs="Arial"/>
        </w:rPr>
        <w:t xml:space="preserve">) </w:t>
      </w:r>
      <w:r w:rsidR="00832FF9" w:rsidRPr="00832FF9">
        <w:rPr>
          <w:rFonts w:ascii="Arial" w:hAnsi="Arial" w:cs="Arial"/>
          <w:i/>
          <w:iCs/>
        </w:rPr>
        <w:t xml:space="preserve">Turicibacter </w:t>
      </w:r>
      <w:r w:rsidR="00832FF9" w:rsidRPr="00832FF9">
        <w:rPr>
          <w:rFonts w:ascii="Arial" w:hAnsi="Arial" w:cs="Arial"/>
        </w:rPr>
        <w:t xml:space="preserve">and </w:t>
      </w:r>
      <w:r w:rsidR="00832FF9" w:rsidRPr="00832FF9">
        <w:rPr>
          <w:rFonts w:ascii="Arial" w:hAnsi="Arial" w:cs="Arial"/>
          <w:i/>
          <w:iCs/>
        </w:rPr>
        <w:t>Clostridium sensu stricto</w:t>
      </w:r>
      <w:r w:rsidR="00832FF9" w:rsidRPr="00832FF9">
        <w:rPr>
          <w:rFonts w:ascii="Arial" w:hAnsi="Arial" w:cs="Arial"/>
        </w:rPr>
        <w:t xml:space="preserve"> were less abundant in SsoPox-treated females compared to female controls at week 3. (G-I) The relative abundances of </w:t>
      </w:r>
      <w:r w:rsidR="00832FF9" w:rsidRPr="00832FF9">
        <w:rPr>
          <w:rFonts w:ascii="Arial" w:hAnsi="Arial" w:cs="Arial"/>
          <w:i/>
          <w:iCs/>
        </w:rPr>
        <w:t>Lactobacillus</w:t>
      </w:r>
      <w:r w:rsidR="00832FF9" w:rsidRPr="00832FF9">
        <w:rPr>
          <w:rFonts w:ascii="Arial" w:hAnsi="Arial" w:cs="Arial"/>
        </w:rPr>
        <w:t xml:space="preserve">, </w:t>
      </w:r>
      <w:r w:rsidR="00832FF9" w:rsidRPr="00832FF9">
        <w:rPr>
          <w:rFonts w:ascii="Arial" w:hAnsi="Arial" w:cs="Arial"/>
          <w:i/>
          <w:iCs/>
        </w:rPr>
        <w:t>Clostridium sensu stricto</w:t>
      </w:r>
      <w:r w:rsidR="00832FF9" w:rsidRPr="00832FF9">
        <w:rPr>
          <w:rFonts w:ascii="Arial" w:hAnsi="Arial" w:cs="Arial"/>
        </w:rPr>
        <w:t xml:space="preserve">, and </w:t>
      </w:r>
      <w:r w:rsidR="00832FF9" w:rsidRPr="00832FF9">
        <w:rPr>
          <w:rFonts w:ascii="Arial" w:hAnsi="Arial" w:cs="Arial"/>
          <w:i/>
          <w:iCs/>
        </w:rPr>
        <w:t>Akkermansia</w:t>
      </w:r>
      <w:r w:rsidR="00832FF9" w:rsidRPr="00832FF9">
        <w:rPr>
          <w:rFonts w:ascii="Arial" w:hAnsi="Arial" w:cs="Arial"/>
        </w:rPr>
        <w:t xml:space="preserve"> differed between SsoPox-treated females and their respective controls at endpoint.</w:t>
      </w:r>
    </w:p>
    <w:p w14:paraId="33AE2FB8" w14:textId="77777777" w:rsidR="005B5269" w:rsidRDefault="005B52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BD2F36" w14:textId="5851257D" w:rsidR="00086B21" w:rsidRPr="00086B21" w:rsidRDefault="00512864" w:rsidP="00086B21">
      <w:pPr>
        <w:rPr>
          <w:rFonts w:ascii="Arial" w:hAnsi="Arial" w:cs="Arial"/>
        </w:rPr>
      </w:pPr>
      <w:r w:rsidRPr="00512864">
        <w:rPr>
          <w:rFonts w:ascii="Arial" w:hAnsi="Arial" w:cs="Arial"/>
          <w:b/>
          <w:bCs/>
        </w:rPr>
        <w:lastRenderedPageBreak/>
        <w:drawing>
          <wp:inline distT="0" distB="0" distL="0" distR="0" wp14:anchorId="3C181E14" wp14:editId="7E40B049">
            <wp:extent cx="5943600" cy="406209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1" w:rsidRPr="00086B21">
        <w:rPr>
          <w:rFonts w:ascii="Arial" w:hAnsi="Arial" w:cs="Arial"/>
          <w:b/>
          <w:bCs/>
        </w:rPr>
        <w:t xml:space="preserve">Supplementary Figure </w:t>
      </w:r>
      <w:r w:rsidR="00E3207B">
        <w:rPr>
          <w:rFonts w:ascii="Arial" w:hAnsi="Arial" w:cs="Arial"/>
          <w:b/>
          <w:bCs/>
        </w:rPr>
        <w:t>S</w:t>
      </w:r>
      <w:r w:rsidR="00086B21" w:rsidRPr="00086B21">
        <w:rPr>
          <w:rFonts w:ascii="Arial" w:hAnsi="Arial" w:cs="Arial"/>
          <w:b/>
          <w:bCs/>
        </w:rPr>
        <w:t>2.</w:t>
      </w:r>
      <w:r w:rsidR="00086B21" w:rsidRPr="00086B21">
        <w:rPr>
          <w:rFonts w:ascii="Arial" w:hAnsi="Arial" w:cs="Arial"/>
        </w:rPr>
        <w:t xml:space="preserve"> Box and whisker plots of predominant taxa whose relative abundances differed in 1mg/mL SsoPox-treated mice over time. </w:t>
      </w:r>
      <w:r w:rsidR="00086B21">
        <w:rPr>
          <w:rFonts w:ascii="Arial" w:hAnsi="Arial" w:cs="Arial"/>
        </w:rPr>
        <w:t>Male mice are denoted with solid lines, female mice with dotted lines</w:t>
      </w:r>
      <w:r w:rsidR="00086B21" w:rsidRPr="00832FF9">
        <w:rPr>
          <w:rFonts w:ascii="Arial" w:hAnsi="Arial" w:cs="Arial"/>
        </w:rPr>
        <w:t xml:space="preserve">. </w:t>
      </w:r>
      <w:r w:rsidR="00086B21" w:rsidRPr="00086B21">
        <w:rPr>
          <w:rFonts w:ascii="Arial" w:hAnsi="Arial" w:cs="Arial"/>
        </w:rPr>
        <w:t xml:space="preserve">(A-C) In male mice, the relative abundance of </w:t>
      </w:r>
      <w:r w:rsidR="00086B21" w:rsidRPr="00086B21">
        <w:rPr>
          <w:rFonts w:ascii="Arial" w:hAnsi="Arial" w:cs="Arial"/>
          <w:i/>
          <w:iCs/>
        </w:rPr>
        <w:t>Lactobacillus</w:t>
      </w:r>
      <w:r w:rsidR="00086B21" w:rsidRPr="00086B21">
        <w:rPr>
          <w:rFonts w:ascii="Arial" w:hAnsi="Arial" w:cs="Arial"/>
        </w:rPr>
        <w:t xml:space="preserve"> decreased and the relative abundances of </w:t>
      </w:r>
      <w:r w:rsidR="00086B21" w:rsidRPr="00086B21">
        <w:rPr>
          <w:rFonts w:ascii="Arial" w:hAnsi="Arial" w:cs="Arial"/>
          <w:i/>
          <w:iCs/>
        </w:rPr>
        <w:t xml:space="preserve">Muribaculaceae </w:t>
      </w:r>
      <w:r w:rsidR="00086B21" w:rsidRPr="00086B21">
        <w:rPr>
          <w:rFonts w:ascii="Arial" w:hAnsi="Arial" w:cs="Arial"/>
        </w:rPr>
        <w:t xml:space="preserve">and </w:t>
      </w:r>
      <w:r w:rsidR="00086B21" w:rsidRPr="00086B21">
        <w:rPr>
          <w:rFonts w:ascii="Arial" w:hAnsi="Arial" w:cs="Arial"/>
          <w:i/>
          <w:iCs/>
        </w:rPr>
        <w:t>Bifidobacterium</w:t>
      </w:r>
      <w:r w:rsidR="00086B21" w:rsidRPr="00086B21">
        <w:rPr>
          <w:rFonts w:ascii="Arial" w:hAnsi="Arial" w:cs="Arial"/>
        </w:rPr>
        <w:t xml:space="preserve"> increased between baseline and week 3. (D-G) In those same male mice, the relative abundance of Lachnospiraceae decreased, and the relative abundances of </w:t>
      </w:r>
      <w:r w:rsidR="00086B21" w:rsidRPr="00086B21">
        <w:rPr>
          <w:rFonts w:ascii="Arial" w:hAnsi="Arial" w:cs="Arial"/>
          <w:i/>
          <w:iCs/>
        </w:rPr>
        <w:t>Akkermansia</w:t>
      </w:r>
      <w:r w:rsidR="00086B21" w:rsidRPr="00086B21">
        <w:rPr>
          <w:rFonts w:ascii="Arial" w:hAnsi="Arial" w:cs="Arial"/>
        </w:rPr>
        <w:t xml:space="preserve">, Clostridiales, and </w:t>
      </w:r>
      <w:r w:rsidR="00086B21" w:rsidRPr="00086B21">
        <w:rPr>
          <w:rFonts w:ascii="Arial" w:hAnsi="Arial" w:cs="Arial"/>
          <w:i/>
          <w:iCs/>
        </w:rPr>
        <w:t xml:space="preserve">Clostridium sensu stricto </w:t>
      </w:r>
      <w:r w:rsidR="00086B21" w:rsidRPr="00086B21">
        <w:rPr>
          <w:rFonts w:ascii="Arial" w:hAnsi="Arial" w:cs="Arial"/>
        </w:rPr>
        <w:t xml:space="preserve">increased between week 3 and endpoint. (H) In female mice, the relative abundance of </w:t>
      </w:r>
      <w:r w:rsidR="00086B21" w:rsidRPr="00086B21">
        <w:rPr>
          <w:rFonts w:ascii="Arial" w:hAnsi="Arial" w:cs="Arial"/>
          <w:i/>
          <w:iCs/>
        </w:rPr>
        <w:t xml:space="preserve">Lactobacillus </w:t>
      </w:r>
      <w:r w:rsidR="00086B21" w:rsidRPr="00086B21">
        <w:rPr>
          <w:rFonts w:ascii="Arial" w:hAnsi="Arial" w:cs="Arial"/>
        </w:rPr>
        <w:t xml:space="preserve">decreased from baseline to week 3. (I-K) In those same female mice, the relative abundance of </w:t>
      </w:r>
      <w:r w:rsidR="00086B21" w:rsidRPr="00086B21">
        <w:rPr>
          <w:rFonts w:ascii="Arial" w:hAnsi="Arial" w:cs="Arial"/>
          <w:i/>
          <w:iCs/>
        </w:rPr>
        <w:t xml:space="preserve">Lachnospiraceae </w:t>
      </w:r>
      <w:r w:rsidR="00086B21" w:rsidRPr="00086B21">
        <w:rPr>
          <w:rFonts w:ascii="Arial" w:hAnsi="Arial" w:cs="Arial"/>
        </w:rPr>
        <w:t xml:space="preserve">decreased and the relative abundances of </w:t>
      </w:r>
      <w:r w:rsidR="00086B21" w:rsidRPr="00086B21">
        <w:rPr>
          <w:rFonts w:ascii="Arial" w:hAnsi="Arial" w:cs="Arial"/>
          <w:i/>
          <w:iCs/>
        </w:rPr>
        <w:t xml:space="preserve">Akkermansia </w:t>
      </w:r>
      <w:r w:rsidR="00086B21" w:rsidRPr="00086B21">
        <w:rPr>
          <w:rFonts w:ascii="Arial" w:hAnsi="Arial" w:cs="Arial"/>
        </w:rPr>
        <w:t xml:space="preserve">and </w:t>
      </w:r>
      <w:r w:rsidR="00086B21" w:rsidRPr="00086B21">
        <w:rPr>
          <w:rFonts w:ascii="Arial" w:hAnsi="Arial" w:cs="Arial"/>
          <w:i/>
          <w:iCs/>
        </w:rPr>
        <w:t>Clostridium sensu stricto</w:t>
      </w:r>
      <w:r w:rsidR="00086B21" w:rsidRPr="00086B21">
        <w:rPr>
          <w:rFonts w:ascii="Arial" w:hAnsi="Arial" w:cs="Arial"/>
        </w:rPr>
        <w:t xml:space="preserve"> from week 3 and endpoint.</w:t>
      </w:r>
    </w:p>
    <w:p w14:paraId="393975BF" w14:textId="4C858FF5" w:rsidR="005B5269" w:rsidRDefault="005B52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AF080D9" w14:textId="219449EF" w:rsidR="00832FF9" w:rsidRDefault="00832FF9" w:rsidP="00342AC0">
      <w:pPr>
        <w:rPr>
          <w:rFonts w:ascii="Arial" w:hAnsi="Arial" w:cs="Arial"/>
        </w:rPr>
      </w:pPr>
    </w:p>
    <w:p w14:paraId="22B73913" w14:textId="77777777" w:rsidR="00342AC0" w:rsidRDefault="00342AC0">
      <w:pPr>
        <w:rPr>
          <w:rFonts w:ascii="Arial" w:hAnsi="Arial" w:cs="Arial"/>
          <w:b/>
          <w:bCs/>
        </w:rPr>
      </w:pPr>
    </w:p>
    <w:p w14:paraId="31E3D3C2" w14:textId="273E7911" w:rsidR="005B5269" w:rsidRDefault="00342AC0">
      <w:pPr>
        <w:rPr>
          <w:rFonts w:ascii="Arial" w:hAnsi="Arial" w:cs="Arial"/>
        </w:rPr>
      </w:pPr>
      <w:r w:rsidRPr="00342AC0">
        <w:rPr>
          <w:rFonts w:ascii="Arial" w:hAnsi="Arial" w:cs="Arial"/>
          <w:b/>
          <w:bCs/>
        </w:rPr>
        <w:drawing>
          <wp:anchor distT="0" distB="0" distL="114300" distR="114300" simplePos="0" relativeHeight="251658240" behindDoc="0" locked="0" layoutInCell="1" allowOverlap="1" wp14:anchorId="3BE6E609" wp14:editId="15C4DEF3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3810000" cy="5619115"/>
            <wp:effectExtent l="0" t="0" r="0" b="635"/>
            <wp:wrapTopAndBottom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897"/>
                    <a:stretch/>
                  </pic:blipFill>
                  <pic:spPr bwMode="auto">
                    <a:xfrm>
                      <a:off x="0" y="0"/>
                      <a:ext cx="3810000" cy="561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269" w:rsidRPr="005B5269">
        <w:rPr>
          <w:rFonts w:ascii="Arial" w:hAnsi="Arial" w:cs="Arial"/>
          <w:b/>
          <w:bCs/>
        </w:rPr>
        <w:t xml:space="preserve">Supplementary Figure </w:t>
      </w:r>
      <w:r w:rsidR="00E3207B">
        <w:rPr>
          <w:rFonts w:ascii="Arial" w:hAnsi="Arial" w:cs="Arial"/>
          <w:b/>
          <w:bCs/>
        </w:rPr>
        <w:t>S</w:t>
      </w:r>
      <w:r w:rsidR="005B5269" w:rsidRPr="005B5269">
        <w:rPr>
          <w:rFonts w:ascii="Arial" w:hAnsi="Arial" w:cs="Arial"/>
          <w:b/>
          <w:bCs/>
        </w:rPr>
        <w:t>3.</w:t>
      </w:r>
      <w:r w:rsidR="005B5269" w:rsidRPr="005B5269">
        <w:rPr>
          <w:rFonts w:ascii="Arial" w:hAnsi="Arial" w:cs="Arial"/>
        </w:rPr>
        <w:t xml:space="preserve"> Box and whisker plots of predominant taxa whose relative abundances differed between 2mg/mL SsoPox-treated mice and their respective controls. (A-</w:t>
      </w:r>
      <w:r w:rsidR="00E3207B">
        <w:rPr>
          <w:rFonts w:ascii="Arial" w:hAnsi="Arial" w:cs="Arial"/>
        </w:rPr>
        <w:t>C</w:t>
      </w:r>
      <w:r w:rsidR="005B5269" w:rsidRPr="005B5269">
        <w:rPr>
          <w:rFonts w:ascii="Arial" w:hAnsi="Arial" w:cs="Arial"/>
        </w:rPr>
        <w:t xml:space="preserve">) In female mice, the relative abundances of Lachnospiraceae, </w:t>
      </w:r>
      <w:r w:rsidR="005B5269" w:rsidRPr="00246C64">
        <w:rPr>
          <w:rFonts w:ascii="Arial" w:hAnsi="Arial" w:cs="Arial"/>
          <w:i/>
          <w:iCs/>
        </w:rPr>
        <w:t>Turicibacter</w:t>
      </w:r>
      <w:r w:rsidR="005B5269" w:rsidRPr="005B5269">
        <w:rPr>
          <w:rFonts w:ascii="Arial" w:hAnsi="Arial" w:cs="Arial"/>
        </w:rPr>
        <w:t xml:space="preserve">, and Clostridiales were lower and </w:t>
      </w:r>
      <w:r w:rsidR="00E3207B">
        <w:rPr>
          <w:rFonts w:ascii="Arial" w:hAnsi="Arial" w:cs="Arial"/>
        </w:rPr>
        <w:t xml:space="preserve">(D) </w:t>
      </w:r>
      <w:r w:rsidR="005B5269" w:rsidRPr="005B5269">
        <w:rPr>
          <w:rFonts w:ascii="Arial" w:hAnsi="Arial" w:cs="Arial"/>
        </w:rPr>
        <w:t xml:space="preserve">the relative abundance of </w:t>
      </w:r>
      <w:r w:rsidR="005B5269" w:rsidRPr="00246C64">
        <w:rPr>
          <w:rFonts w:ascii="Arial" w:hAnsi="Arial" w:cs="Arial"/>
          <w:i/>
          <w:iCs/>
        </w:rPr>
        <w:t>Lactobacillus</w:t>
      </w:r>
      <w:r w:rsidR="005B5269" w:rsidRPr="005B5269">
        <w:rPr>
          <w:rFonts w:ascii="Arial" w:hAnsi="Arial" w:cs="Arial"/>
        </w:rPr>
        <w:t xml:space="preserve"> was greater in the mice assigned to the SsoPox group at baseline. (E) In female mice at week 3, the relative abundance of Ruminococcaceae was lower in SsoPox-treated females.</w:t>
      </w:r>
    </w:p>
    <w:p w14:paraId="13E4AC98" w14:textId="46BE0A67" w:rsidR="00277EFD" w:rsidRDefault="00277EF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3A1DA54" w14:textId="06EC12C3" w:rsidR="00277EFD" w:rsidRDefault="009F4D45">
      <w:pPr>
        <w:rPr>
          <w:rFonts w:ascii="Arial" w:hAnsi="Arial" w:cs="Arial"/>
        </w:rPr>
      </w:pPr>
      <w:r w:rsidRPr="009F4D45">
        <w:rPr>
          <w:rFonts w:ascii="Arial" w:hAnsi="Arial" w:cs="Arial"/>
        </w:rPr>
        <w:lastRenderedPageBreak/>
        <w:drawing>
          <wp:inline distT="0" distB="0" distL="0" distR="0" wp14:anchorId="299884DA" wp14:editId="7DEAB38F">
            <wp:extent cx="5943600" cy="406527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2B398" w14:textId="6CC6CC15" w:rsidR="00B343DD" w:rsidRDefault="001253EA" w:rsidP="001253EA">
      <w:pPr>
        <w:rPr>
          <w:rFonts w:ascii="Arial" w:hAnsi="Arial" w:cs="Arial"/>
        </w:rPr>
      </w:pPr>
      <w:r w:rsidRPr="001253EA">
        <w:rPr>
          <w:rFonts w:ascii="Arial" w:hAnsi="Arial" w:cs="Arial"/>
          <w:b/>
          <w:bCs/>
        </w:rPr>
        <w:t xml:space="preserve">Supplementary Figure </w:t>
      </w:r>
      <w:r w:rsidR="00E3207B">
        <w:rPr>
          <w:rFonts w:ascii="Arial" w:hAnsi="Arial" w:cs="Arial"/>
          <w:b/>
          <w:bCs/>
        </w:rPr>
        <w:t>S</w:t>
      </w:r>
      <w:r w:rsidRPr="001253EA">
        <w:rPr>
          <w:rFonts w:ascii="Arial" w:hAnsi="Arial" w:cs="Arial"/>
          <w:b/>
          <w:bCs/>
        </w:rPr>
        <w:t>4.</w:t>
      </w:r>
      <w:r w:rsidRPr="001253EA">
        <w:rPr>
          <w:rFonts w:ascii="Arial" w:hAnsi="Arial" w:cs="Arial"/>
        </w:rPr>
        <w:t xml:space="preserve"> Box and whisker plots of predominant taxa whose relative abundances differed in 2mg/mL SsoPox-treated mice over time. </w:t>
      </w:r>
      <w:r>
        <w:rPr>
          <w:rFonts w:ascii="Arial" w:hAnsi="Arial" w:cs="Arial"/>
        </w:rPr>
        <w:t>Male mice are denoted with solid lines, female mice with dotted lines</w:t>
      </w:r>
      <w:r w:rsidRPr="00832FF9">
        <w:rPr>
          <w:rFonts w:ascii="Arial" w:hAnsi="Arial" w:cs="Arial"/>
        </w:rPr>
        <w:t xml:space="preserve">. </w:t>
      </w:r>
      <w:r w:rsidRPr="001253EA">
        <w:rPr>
          <w:rFonts w:ascii="Arial" w:hAnsi="Arial" w:cs="Arial"/>
        </w:rPr>
        <w:t xml:space="preserve">(A) In male SsoPox-treated mice, the relative abundance of Lachnospiraceae decreased from baseline to week 3. (B) In those same male mice, the relative abundance of </w:t>
      </w:r>
      <w:r w:rsidRPr="001253EA">
        <w:rPr>
          <w:rFonts w:ascii="Arial" w:hAnsi="Arial" w:cs="Arial"/>
          <w:i/>
          <w:iCs/>
        </w:rPr>
        <w:t xml:space="preserve">Lactobacillus </w:t>
      </w:r>
      <w:r w:rsidRPr="001253EA">
        <w:rPr>
          <w:rFonts w:ascii="Arial" w:hAnsi="Arial" w:cs="Arial"/>
        </w:rPr>
        <w:t>decreased and</w:t>
      </w:r>
      <w:r w:rsidR="00E3207B">
        <w:rPr>
          <w:rFonts w:ascii="Arial" w:hAnsi="Arial" w:cs="Arial"/>
        </w:rPr>
        <w:t xml:space="preserve"> (C-D)</w:t>
      </w:r>
      <w:r w:rsidRPr="001253EA">
        <w:rPr>
          <w:rFonts w:ascii="Arial" w:hAnsi="Arial" w:cs="Arial"/>
        </w:rPr>
        <w:t xml:space="preserve"> the relative abundances of </w:t>
      </w:r>
      <w:r w:rsidRPr="001253EA">
        <w:rPr>
          <w:rFonts w:ascii="Arial" w:hAnsi="Arial" w:cs="Arial"/>
          <w:i/>
          <w:iCs/>
        </w:rPr>
        <w:t xml:space="preserve">Akkermansia </w:t>
      </w:r>
      <w:r w:rsidRPr="001253EA">
        <w:rPr>
          <w:rFonts w:ascii="Arial" w:hAnsi="Arial" w:cs="Arial"/>
        </w:rPr>
        <w:t xml:space="preserve">and Clostridiales increased from week 3 to endpoint. (E) In female SsoPox-treated mice, the relative abundance of Muribaculaceae increased from baseline to week 3. (F) In those same female mice, the relative abundance of </w:t>
      </w:r>
      <w:r w:rsidRPr="001253EA">
        <w:rPr>
          <w:rFonts w:ascii="Arial" w:hAnsi="Arial" w:cs="Arial"/>
          <w:i/>
          <w:iCs/>
        </w:rPr>
        <w:t xml:space="preserve">Lactobacillus </w:t>
      </w:r>
      <w:r w:rsidRPr="001253EA">
        <w:rPr>
          <w:rFonts w:ascii="Arial" w:hAnsi="Arial" w:cs="Arial"/>
        </w:rPr>
        <w:t xml:space="preserve">decreased and </w:t>
      </w:r>
      <w:r w:rsidR="00E3207B">
        <w:rPr>
          <w:rFonts w:ascii="Arial" w:hAnsi="Arial" w:cs="Arial"/>
        </w:rPr>
        <w:t xml:space="preserve">(G-I) </w:t>
      </w:r>
      <w:r w:rsidRPr="001253EA">
        <w:rPr>
          <w:rFonts w:ascii="Arial" w:hAnsi="Arial" w:cs="Arial"/>
        </w:rPr>
        <w:t xml:space="preserve">the relative abundances of </w:t>
      </w:r>
      <w:r w:rsidRPr="001253EA">
        <w:rPr>
          <w:rFonts w:ascii="Arial" w:hAnsi="Arial" w:cs="Arial"/>
          <w:i/>
          <w:iCs/>
        </w:rPr>
        <w:t>Akkermansia</w:t>
      </w:r>
      <w:r w:rsidRPr="001253EA">
        <w:rPr>
          <w:rFonts w:ascii="Arial" w:hAnsi="Arial" w:cs="Arial"/>
        </w:rPr>
        <w:t xml:space="preserve">, Clostridiales, and </w:t>
      </w:r>
      <w:r w:rsidRPr="001253EA">
        <w:rPr>
          <w:rFonts w:ascii="Arial" w:hAnsi="Arial" w:cs="Arial"/>
          <w:i/>
          <w:iCs/>
        </w:rPr>
        <w:t xml:space="preserve">Clostridium sensu stricto </w:t>
      </w:r>
      <w:r w:rsidRPr="001253EA">
        <w:rPr>
          <w:rFonts w:ascii="Arial" w:hAnsi="Arial" w:cs="Arial"/>
        </w:rPr>
        <w:t>increased from week 3 to endpoint.</w:t>
      </w:r>
    </w:p>
    <w:p w14:paraId="0BE0E4BD" w14:textId="07F086C9" w:rsidR="00BB343D" w:rsidRDefault="00B343DD" w:rsidP="001253E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C0AB63" w14:textId="77BFE6B9" w:rsidR="0012376F" w:rsidRDefault="003C513C" w:rsidP="00B343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C65D2BE" wp14:editId="14CBA27E">
            <wp:extent cx="4414925" cy="2910606"/>
            <wp:effectExtent l="0" t="0" r="508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999" cy="2914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99425" w14:textId="5D6B8F17" w:rsidR="00B343DD" w:rsidRPr="00B343DD" w:rsidRDefault="00B343DD" w:rsidP="00B343DD">
      <w:pPr>
        <w:rPr>
          <w:rFonts w:ascii="Arial" w:hAnsi="Arial" w:cs="Arial"/>
          <w:b/>
          <w:bCs/>
        </w:rPr>
      </w:pPr>
      <w:r w:rsidRPr="00B343DD">
        <w:rPr>
          <w:rFonts w:ascii="Arial" w:hAnsi="Arial" w:cs="Arial"/>
          <w:b/>
          <w:bCs/>
        </w:rPr>
        <w:t xml:space="preserve">Supplementary Figure </w:t>
      </w:r>
      <w:r w:rsidR="00E3207B">
        <w:rPr>
          <w:rFonts w:ascii="Arial" w:hAnsi="Arial" w:cs="Arial"/>
          <w:b/>
          <w:bCs/>
        </w:rPr>
        <w:t>S</w:t>
      </w:r>
      <w:r w:rsidRPr="00B343DD">
        <w:rPr>
          <w:rFonts w:ascii="Arial" w:hAnsi="Arial" w:cs="Arial"/>
          <w:b/>
          <w:bCs/>
        </w:rPr>
        <w:t xml:space="preserve">5. </w:t>
      </w:r>
      <w:r w:rsidRPr="00B343DD">
        <w:rPr>
          <w:rFonts w:ascii="Arial" w:hAnsi="Arial" w:cs="Arial"/>
        </w:rPr>
        <w:t>The gut microbiome compositions of all DW control samples throughout both experiments.</w:t>
      </w:r>
    </w:p>
    <w:p w14:paraId="4DE1122A" w14:textId="77777777" w:rsidR="001253EA" w:rsidRPr="00B343DD" w:rsidRDefault="001253EA">
      <w:pPr>
        <w:rPr>
          <w:rFonts w:ascii="Arial" w:hAnsi="Arial" w:cs="Arial"/>
        </w:rPr>
      </w:pPr>
    </w:p>
    <w:sectPr w:rsidR="001253EA" w:rsidRPr="00B34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F9"/>
    <w:rsid w:val="0008408E"/>
    <w:rsid w:val="00086B21"/>
    <w:rsid w:val="0012376F"/>
    <w:rsid w:val="001253EA"/>
    <w:rsid w:val="00246C64"/>
    <w:rsid w:val="00277EFD"/>
    <w:rsid w:val="00342AC0"/>
    <w:rsid w:val="00371274"/>
    <w:rsid w:val="003C513C"/>
    <w:rsid w:val="00512864"/>
    <w:rsid w:val="0059324A"/>
    <w:rsid w:val="005B5269"/>
    <w:rsid w:val="005C2F64"/>
    <w:rsid w:val="00701488"/>
    <w:rsid w:val="00720FB1"/>
    <w:rsid w:val="0077110B"/>
    <w:rsid w:val="00832FF9"/>
    <w:rsid w:val="0084422D"/>
    <w:rsid w:val="00981143"/>
    <w:rsid w:val="009E67A8"/>
    <w:rsid w:val="009F4D45"/>
    <w:rsid w:val="00A66D93"/>
    <w:rsid w:val="00AC0911"/>
    <w:rsid w:val="00AE3352"/>
    <w:rsid w:val="00B343DD"/>
    <w:rsid w:val="00BB343D"/>
    <w:rsid w:val="00C62D9F"/>
    <w:rsid w:val="00E3207B"/>
    <w:rsid w:val="00F854F0"/>
    <w:rsid w:val="00FC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EBC7D"/>
  <w15:chartTrackingRefBased/>
  <w15:docId w15:val="{6A188D87-3F06-4611-BF30-0DCDB823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F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F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F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F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F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FF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FF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F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F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F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F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F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FF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F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FF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FF9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E3207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2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0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0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0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Dietz</dc:creator>
  <cp:keywords/>
  <dc:description/>
  <cp:lastModifiedBy>Matthew Dietz</cp:lastModifiedBy>
  <cp:revision>20</cp:revision>
  <dcterms:created xsi:type="dcterms:W3CDTF">2026-04-21T15:16:00Z</dcterms:created>
  <dcterms:modified xsi:type="dcterms:W3CDTF">2026-04-28T20:13:00Z</dcterms:modified>
</cp:coreProperties>
</file>