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F691" w14:textId="77777777" w:rsidR="00466D3F" w:rsidRPr="003278DE" w:rsidRDefault="00466D3F" w:rsidP="00F400B7">
      <w:pPr>
        <w:spacing w:line="480" w:lineRule="auto"/>
        <w:jc w:val="both"/>
        <w:rPr>
          <w:rFonts w:eastAsiaTheme="majorEastAsia" w:cs="Calibri"/>
          <w:sz w:val="22"/>
          <w:szCs w:val="22"/>
          <w:lang w:val="en-NL"/>
        </w:rPr>
      </w:pPr>
      <w:r w:rsidRPr="003278DE">
        <w:rPr>
          <w:rFonts w:eastAsiaTheme="majorEastAsia" w:cs="Calibri"/>
          <w:b/>
          <w:bCs/>
          <w:sz w:val="22"/>
          <w:szCs w:val="22"/>
          <w:lang w:val="en-NL"/>
        </w:rPr>
        <w:t>Title:</w:t>
      </w:r>
      <w:r w:rsidRPr="003278DE">
        <w:rPr>
          <w:rFonts w:eastAsiaTheme="majorEastAsia" w:cs="Calibri"/>
          <w:sz w:val="22"/>
          <w:szCs w:val="22"/>
          <w:lang w:val="en-NL"/>
        </w:rPr>
        <w:t xml:space="preserve"> Supplementary figures for "Spatial prediction of cassava seed market performance in Tanzania's Lake Zone"</w:t>
      </w:r>
    </w:p>
    <w:p w14:paraId="71D61B6C" w14:textId="77777777" w:rsidR="00466D3F" w:rsidRPr="003278DE" w:rsidRDefault="00466D3F" w:rsidP="00F400B7">
      <w:pPr>
        <w:spacing w:line="480" w:lineRule="auto"/>
        <w:jc w:val="both"/>
        <w:rPr>
          <w:rFonts w:eastAsiaTheme="majorEastAsia" w:cs="Calibri"/>
          <w:sz w:val="22"/>
          <w:szCs w:val="22"/>
          <w:lang w:val="en-NL"/>
        </w:rPr>
      </w:pPr>
      <w:r w:rsidRPr="003278DE">
        <w:rPr>
          <w:rFonts w:eastAsiaTheme="majorEastAsia" w:cs="Calibri"/>
          <w:b/>
          <w:bCs/>
          <w:sz w:val="22"/>
          <w:szCs w:val="22"/>
          <w:lang w:val="en-NL"/>
        </w:rPr>
        <w:t>Description:</w:t>
      </w:r>
      <w:r w:rsidRPr="003278DE">
        <w:rPr>
          <w:rFonts w:eastAsiaTheme="majorEastAsia" w:cs="Calibri"/>
          <w:sz w:val="22"/>
          <w:szCs w:val="22"/>
          <w:lang w:val="en-NL"/>
        </w:rPr>
        <w:t xml:space="preserve"> Five supplementary figures (S1–S5) supporting the methods, results, and discussion of the main manuscript.</w:t>
      </w:r>
    </w:p>
    <w:p w14:paraId="3DE6FD17" w14:textId="4F83B11D" w:rsidR="00466D3F" w:rsidRPr="003278DE" w:rsidRDefault="00466D3F" w:rsidP="00F400B7">
      <w:pPr>
        <w:spacing w:line="480" w:lineRule="auto"/>
        <w:jc w:val="both"/>
        <w:rPr>
          <w:rFonts w:eastAsiaTheme="majorEastAsia" w:cs="Calibri"/>
          <w:sz w:val="22"/>
          <w:szCs w:val="22"/>
          <w:lang w:val="en-NL"/>
        </w:rPr>
      </w:pPr>
      <w:r w:rsidRPr="003278DE">
        <w:rPr>
          <w:rFonts w:eastAsiaTheme="majorEastAsia" w:cs="Calibri"/>
          <w:b/>
          <w:bCs/>
          <w:sz w:val="22"/>
          <w:szCs w:val="22"/>
          <w:lang w:val="en-NL"/>
        </w:rPr>
        <w:t>File format:</w:t>
      </w:r>
      <w:r w:rsidRPr="003278DE">
        <w:rPr>
          <w:rFonts w:eastAsiaTheme="majorEastAsia" w:cs="Calibri"/>
          <w:sz w:val="22"/>
          <w:szCs w:val="22"/>
          <w:lang w:val="en-NL"/>
        </w:rPr>
        <w:t xml:space="preserve"> DOCX</w:t>
      </w:r>
    </w:p>
    <w:p w14:paraId="0A2E836D" w14:textId="77777777" w:rsidR="00466D3F" w:rsidRPr="003278DE" w:rsidRDefault="00466D3F" w:rsidP="00F400B7">
      <w:pPr>
        <w:widowControl/>
        <w:suppressAutoHyphens w:val="0"/>
        <w:spacing w:after="160" w:line="480" w:lineRule="auto"/>
        <w:rPr>
          <w:rFonts w:eastAsiaTheme="majorEastAsia" w:cs="Calibri"/>
          <w:sz w:val="22"/>
          <w:szCs w:val="22"/>
          <w:lang w:val="en-NL"/>
        </w:rPr>
      </w:pPr>
      <w:r w:rsidRPr="003278DE">
        <w:rPr>
          <w:rFonts w:eastAsiaTheme="majorEastAsia" w:cs="Calibri"/>
          <w:sz w:val="22"/>
          <w:szCs w:val="22"/>
          <w:lang w:val="en-NL"/>
        </w:rPr>
        <w:br w:type="page"/>
      </w:r>
    </w:p>
    <w:p w14:paraId="5D899F53" w14:textId="52E197C7" w:rsidR="00840FDC" w:rsidRPr="003278DE" w:rsidRDefault="001E179A" w:rsidP="00F400B7">
      <w:pPr>
        <w:keepNext/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noProof/>
          <w:sz w:val="22"/>
          <w:szCs w:val="22"/>
        </w:rPr>
        <w:lastRenderedPageBreak/>
        <w:drawing>
          <wp:inline distT="0" distB="0" distL="0" distR="0" wp14:anchorId="2F70BE90" wp14:editId="1BE1126C">
            <wp:extent cx="5700241" cy="6649476"/>
            <wp:effectExtent l="0" t="0" r="0" b="0"/>
            <wp:docPr id="1941970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70593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41" cy="664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221F2" w14:textId="6228D624" w:rsidR="00EF7A81" w:rsidRPr="003278DE" w:rsidRDefault="00AB67BF" w:rsidP="00F400B7">
      <w:pPr>
        <w:widowControl/>
        <w:suppressAutoHyphens w:val="0"/>
        <w:spacing w:after="160" w:line="480" w:lineRule="auto"/>
        <w:jc w:val="both"/>
        <w:rPr>
          <w:rFonts w:cs="Calibri"/>
          <w:color w:val="0E2841" w:themeColor="text2"/>
          <w:sz w:val="22"/>
          <w:szCs w:val="22"/>
        </w:rPr>
      </w:pPr>
      <w:r w:rsidRPr="003278DE">
        <w:rPr>
          <w:rFonts w:cs="Calibri"/>
          <w:color w:val="0E2841" w:themeColor="text2"/>
          <w:sz w:val="22"/>
          <w:szCs w:val="22"/>
        </w:rPr>
        <w:t xml:space="preserve">Figure </w:t>
      </w:r>
      <w:r w:rsidR="00A81A39" w:rsidRPr="003278DE">
        <w:rPr>
          <w:rFonts w:cs="Calibri"/>
          <w:color w:val="0E2841" w:themeColor="text2"/>
          <w:sz w:val="22"/>
          <w:szCs w:val="22"/>
        </w:rPr>
        <w:t>S</w:t>
      </w:r>
      <w:r w:rsidRPr="003278DE">
        <w:rPr>
          <w:rFonts w:cs="Calibri"/>
          <w:color w:val="0E2841" w:themeColor="text2"/>
          <w:sz w:val="22"/>
          <w:szCs w:val="22"/>
        </w:rPr>
        <w:t xml:space="preserve">1 Spatial distribution of all 25 predictor variables used in the RF model across the Lake Zone at 5-arcminute (~10 km) resolution. Predictors are ordered by permutation importance (highest to lowest, left to right, top to bottom). Colour palettes are grouped thematically: green for agricultural and vegetation metrics, blue for climate variables, brown for terrain, and grey for human activity indicators. Legends show value ranges in original units (see Table 2 in main text for units). Value Ratio represents cassava's economic value as a proportion of total crop value across all 42 SPAM crops. Cassava Prod. (5×5) and Pop. Density (5×5) are focal means calculated over a 5×5-pixel neighbourhood (~50×50 km), </w:t>
      </w:r>
      <w:r w:rsidRPr="003278DE">
        <w:rPr>
          <w:rFonts w:cs="Calibri"/>
          <w:color w:val="0E2841" w:themeColor="text2"/>
          <w:sz w:val="22"/>
          <w:szCs w:val="22"/>
        </w:rPr>
        <w:lastRenderedPageBreak/>
        <w:t>capturing regional context. Rainfall CV is the coefficient of variation of annual rainfall (2018–2022), indicating inter-annual variability. Terrain Roughness quantifies local elevation variability. Travel Time measures minutes to the nearest city with population exceeding 50,000.</w:t>
      </w:r>
    </w:p>
    <w:p w14:paraId="619345D1" w14:textId="77777777" w:rsidR="00243337" w:rsidRPr="003278DE" w:rsidRDefault="00243337" w:rsidP="00F400B7">
      <w:pPr>
        <w:keepNext/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noProof/>
          <w:sz w:val="22"/>
          <w:szCs w:val="22"/>
          <w14:ligatures w14:val="standardContextual"/>
        </w:rPr>
        <w:drawing>
          <wp:inline distT="0" distB="0" distL="0" distR="0" wp14:anchorId="1FDA50C9" wp14:editId="53A49C14">
            <wp:extent cx="5759930" cy="2687316"/>
            <wp:effectExtent l="0" t="0" r="0" b="0"/>
            <wp:docPr id="1930213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13287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30" cy="268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C154" w14:textId="53AC06BB" w:rsidR="00EF7A81" w:rsidRPr="003278DE" w:rsidRDefault="00243337" w:rsidP="00F400B7">
      <w:pPr>
        <w:pStyle w:val="Caption"/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i w:val="0"/>
          <w:iCs w:val="0"/>
          <w:sz w:val="22"/>
          <w:szCs w:val="22"/>
        </w:rPr>
        <w:t xml:space="preserve">Figure </w:t>
      </w:r>
      <w:r w:rsidR="00A81A39" w:rsidRPr="003278DE">
        <w:rPr>
          <w:rFonts w:cs="Calibri"/>
          <w:i w:val="0"/>
          <w:iCs w:val="0"/>
          <w:sz w:val="22"/>
          <w:szCs w:val="22"/>
        </w:rPr>
        <w:t>S</w:t>
      </w:r>
      <w:r w:rsidRPr="003278DE">
        <w:rPr>
          <w:rFonts w:cs="Calibri"/>
          <w:i w:val="0"/>
          <w:iCs w:val="0"/>
          <w:sz w:val="22"/>
          <w:szCs w:val="22"/>
        </w:rPr>
        <w:t xml:space="preserve">2 </w:t>
      </w:r>
      <w:r w:rsidR="009A3E11" w:rsidRPr="003278DE">
        <w:rPr>
          <w:rFonts w:cs="Calibri"/>
          <w:i w:val="0"/>
          <w:iCs w:val="0"/>
          <w:sz w:val="22"/>
          <w:szCs w:val="22"/>
        </w:rPr>
        <w:t xml:space="preserve">Spatial distribution of CSE and prediction locations (a) and nearest-neighbour distance distributions under three cross-validation strategies (b). Red: random 5-fold CV, where each test point's nearest-neighbour distance is computed to the training set of its assigned fold. Blue: NNDM LOO CV, where </w:t>
      </w:r>
      <w:r w:rsidR="002E662A" w:rsidRPr="003278DE">
        <w:rPr>
          <w:rFonts w:cs="Calibri"/>
          <w:i w:val="0"/>
          <w:iCs w:val="0"/>
          <w:sz w:val="22"/>
          <w:szCs w:val="22"/>
        </w:rPr>
        <w:t xml:space="preserve">some </w:t>
      </w:r>
      <w:r w:rsidR="009A3E11" w:rsidRPr="003278DE">
        <w:rPr>
          <w:rFonts w:cs="Calibri"/>
          <w:i w:val="0"/>
          <w:iCs w:val="0"/>
          <w:sz w:val="22"/>
          <w:szCs w:val="22"/>
        </w:rPr>
        <w:t xml:space="preserve">nearby training points are excluded to match the prediction distance distribution. Grey: prediction distances from each grid cell to the nearest CSE. The 5-fold CV distribution is concentrated at short distances, indicating that test points typically have nearby training data — inflating apparent </w:t>
      </w:r>
      <w:r w:rsidR="008747A9" w:rsidRPr="003278DE">
        <w:rPr>
          <w:rFonts w:cs="Calibri"/>
          <w:i w:val="0"/>
          <w:iCs w:val="0"/>
          <w:sz w:val="22"/>
          <w:szCs w:val="22"/>
        </w:rPr>
        <w:t xml:space="preserve">prediction </w:t>
      </w:r>
      <w:r w:rsidR="009A3E11" w:rsidRPr="003278DE">
        <w:rPr>
          <w:rFonts w:cs="Calibri"/>
          <w:i w:val="0"/>
          <w:iCs w:val="0"/>
          <w:sz w:val="22"/>
          <w:szCs w:val="22"/>
        </w:rPr>
        <w:t>accuracy. NNDM LOO CV shifts the distribution toward the prediction distances, providing more realistic performance estimates.</w:t>
      </w:r>
    </w:p>
    <w:p w14:paraId="791C4286" w14:textId="60A4E14B" w:rsidR="00EF3494" w:rsidRPr="003278DE" w:rsidRDefault="00EF3494" w:rsidP="00F400B7">
      <w:pPr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noProof/>
          <w:sz w:val="22"/>
          <w:szCs w:val="22"/>
        </w:rPr>
        <w:lastRenderedPageBreak/>
        <w:drawing>
          <wp:inline distT="0" distB="0" distL="0" distR="0" wp14:anchorId="12BE32B6" wp14:editId="5FB0C777">
            <wp:extent cx="5760000" cy="6074729"/>
            <wp:effectExtent l="0" t="0" r="0" b="2540"/>
            <wp:docPr id="1258321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21322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" r="2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7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4C6D1" w14:textId="098B241B" w:rsidR="00EF7A81" w:rsidRPr="003278DE" w:rsidRDefault="00EF3494" w:rsidP="00F400B7">
      <w:pPr>
        <w:spacing w:line="480" w:lineRule="auto"/>
        <w:jc w:val="both"/>
        <w:rPr>
          <w:rFonts w:cs="Calibri"/>
          <w:sz w:val="22"/>
          <w:szCs w:val="22"/>
        </w:rPr>
      </w:pPr>
      <w:bookmarkStart w:id="0" w:name="_Ref216004169"/>
      <w:r w:rsidRPr="003278DE">
        <w:rPr>
          <w:rFonts w:cs="Calibri"/>
          <w:sz w:val="22"/>
          <w:szCs w:val="22"/>
        </w:rPr>
        <w:t xml:space="preserve">Figure </w:t>
      </w:r>
      <w:bookmarkEnd w:id="0"/>
      <w:r w:rsidR="00A81A39" w:rsidRPr="003278DE">
        <w:rPr>
          <w:rFonts w:cs="Calibri"/>
          <w:sz w:val="22"/>
          <w:szCs w:val="22"/>
        </w:rPr>
        <w:t>S</w:t>
      </w:r>
      <w:r w:rsidRPr="003278DE">
        <w:rPr>
          <w:rFonts w:cs="Calibri"/>
          <w:sz w:val="22"/>
          <w:szCs w:val="22"/>
        </w:rPr>
        <w:t>3 Spatial distribution of the four normalised components used in the Structural Potential Index (SPI). (</w:t>
      </w:r>
      <w:r w:rsidR="00CE548D" w:rsidRPr="003278DE">
        <w:rPr>
          <w:rFonts w:cs="Calibri"/>
          <w:sz w:val="22"/>
          <w:szCs w:val="22"/>
        </w:rPr>
        <w:t>a</w:t>
      </w:r>
      <w:r w:rsidRPr="003278DE">
        <w:rPr>
          <w:rFonts w:cs="Calibri"/>
          <w:sz w:val="22"/>
          <w:szCs w:val="22"/>
        </w:rPr>
        <w:t>) Harvested cassava area (H*), log-transformed before scaling, shows concentrated production around Lake Victoria. (</w:t>
      </w:r>
      <w:r w:rsidR="00CE548D" w:rsidRPr="003278DE">
        <w:rPr>
          <w:rFonts w:cs="Calibri"/>
          <w:sz w:val="22"/>
          <w:szCs w:val="22"/>
        </w:rPr>
        <w:t>b</w:t>
      </w:r>
      <w:r w:rsidRPr="003278DE">
        <w:rPr>
          <w:rFonts w:cs="Calibri"/>
          <w:sz w:val="22"/>
          <w:szCs w:val="22"/>
        </w:rPr>
        <w:t>) Regional cassava production (P*), computed as a 5×5 neighbourhood mean, highlights large production belts extending west and east of the lake. (</w:t>
      </w:r>
      <w:r w:rsidR="00CE548D" w:rsidRPr="003278DE">
        <w:rPr>
          <w:rFonts w:cs="Calibri"/>
          <w:sz w:val="22"/>
          <w:szCs w:val="22"/>
        </w:rPr>
        <w:t>c</w:t>
      </w:r>
      <w:r w:rsidRPr="003278DE">
        <w:rPr>
          <w:rFonts w:cs="Calibri"/>
          <w:sz w:val="22"/>
          <w:szCs w:val="22"/>
        </w:rPr>
        <w:t>) Value ratio (V*), cassava’s share of total crop value, shows low relative economic importance across most of the Lake Zone. (</w:t>
      </w:r>
      <w:r w:rsidR="00CE548D" w:rsidRPr="003278DE">
        <w:rPr>
          <w:rFonts w:cs="Calibri"/>
          <w:sz w:val="22"/>
          <w:szCs w:val="22"/>
        </w:rPr>
        <w:t>d</w:t>
      </w:r>
      <w:r w:rsidRPr="003278DE">
        <w:rPr>
          <w:rFonts w:cs="Calibri"/>
          <w:sz w:val="22"/>
          <w:szCs w:val="22"/>
        </w:rPr>
        <w:t>) Accessibility (A*), the inverse-transformed travel time to cities &gt;50,000 population, is highest only around a few urban centres. Together these components illustrate why the SPI shows modest values across large areas despite high cassava production in specific zones.</w:t>
      </w:r>
    </w:p>
    <w:p w14:paraId="62E82414" w14:textId="77777777" w:rsidR="00840FDC" w:rsidRPr="003278DE" w:rsidRDefault="00840FDC" w:rsidP="00F400B7">
      <w:pPr>
        <w:keepNext/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noProof/>
          <w:sz w:val="22"/>
          <w:szCs w:val="22"/>
        </w:rPr>
        <w:lastRenderedPageBreak/>
        <w:drawing>
          <wp:inline distT="0" distB="0" distL="0" distR="0" wp14:anchorId="042FAC52" wp14:editId="61261F4D">
            <wp:extent cx="5759650" cy="2879147"/>
            <wp:effectExtent l="0" t="0" r="0" b="0"/>
            <wp:docPr id="6247459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45949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50" cy="287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39EC" w14:textId="39F4D010" w:rsidR="00EF7A81" w:rsidRPr="003278DE" w:rsidRDefault="00840FDC" w:rsidP="00F400B7">
      <w:pPr>
        <w:pStyle w:val="Caption"/>
        <w:spacing w:line="480" w:lineRule="auto"/>
        <w:jc w:val="both"/>
        <w:rPr>
          <w:rFonts w:cs="Calibri"/>
          <w:sz w:val="22"/>
          <w:szCs w:val="22"/>
        </w:rPr>
      </w:pPr>
      <w:bookmarkStart w:id="1" w:name="_Ref216193616"/>
      <w:r w:rsidRPr="003278DE">
        <w:rPr>
          <w:rFonts w:cs="Calibri"/>
          <w:i w:val="0"/>
          <w:iCs w:val="0"/>
          <w:sz w:val="22"/>
          <w:szCs w:val="22"/>
        </w:rPr>
        <w:t xml:space="preserve">Figure </w:t>
      </w:r>
      <w:bookmarkEnd w:id="1"/>
      <w:r w:rsidR="00A81A39" w:rsidRPr="003278DE">
        <w:rPr>
          <w:rFonts w:cs="Calibri"/>
          <w:i w:val="0"/>
          <w:iCs w:val="0"/>
          <w:sz w:val="22"/>
          <w:szCs w:val="22"/>
        </w:rPr>
        <w:t>S</w:t>
      </w:r>
      <w:r w:rsidRPr="003278DE">
        <w:rPr>
          <w:rFonts w:cs="Calibri"/>
          <w:i w:val="0"/>
          <w:iCs w:val="0"/>
          <w:sz w:val="22"/>
          <w:szCs w:val="22"/>
        </w:rPr>
        <w:t>4 Observed versus predicted sell ratios from two cross-validation strategies. (a) Random 5-fold CV shows moderate agreement (MEC = 0.181, CCC = 0.386), with regression toward the mean (slope = 0.26). (b) NNDM leave-one-out CV shows reduced agreement (MEC = 0.130, CCC = 0.269) and further regression toward the mean (slope = 0.1</w:t>
      </w:r>
      <w:r w:rsidR="00983341" w:rsidRPr="003278DE">
        <w:rPr>
          <w:rFonts w:cs="Calibri"/>
          <w:i w:val="0"/>
          <w:iCs w:val="0"/>
          <w:sz w:val="22"/>
          <w:szCs w:val="22"/>
        </w:rPr>
        <w:t>6</w:t>
      </w:r>
      <w:r w:rsidRPr="003278DE">
        <w:rPr>
          <w:rFonts w:cs="Calibri"/>
          <w:i w:val="0"/>
          <w:iCs w:val="0"/>
          <w:sz w:val="22"/>
          <w:szCs w:val="22"/>
        </w:rPr>
        <w:t xml:space="preserve">), reflecting more realistic prediction </w:t>
      </w:r>
      <w:r w:rsidR="00765069" w:rsidRPr="003278DE">
        <w:rPr>
          <w:rFonts w:cs="Calibri"/>
          <w:i w:val="0"/>
          <w:iCs w:val="0"/>
          <w:sz w:val="22"/>
          <w:szCs w:val="22"/>
        </w:rPr>
        <w:t>performance</w:t>
      </w:r>
      <w:r w:rsidR="00C959DD" w:rsidRPr="003278DE">
        <w:rPr>
          <w:rFonts w:cs="Calibri"/>
          <w:i w:val="0"/>
          <w:iCs w:val="0"/>
          <w:sz w:val="22"/>
          <w:szCs w:val="22"/>
        </w:rPr>
        <w:t xml:space="preserve"> evaluation </w:t>
      </w:r>
      <w:r w:rsidRPr="003278DE">
        <w:rPr>
          <w:rFonts w:cs="Calibri"/>
          <w:i w:val="0"/>
          <w:iCs w:val="0"/>
          <w:sz w:val="22"/>
          <w:szCs w:val="22"/>
        </w:rPr>
        <w:t>under spatial clustering. Red dashed line: 1:1 reference. Grey line: fitted regression. Both panels show systematic underprediction of high sell ratios and overprediction of low sell ratios, consistent with the U-shaped response distribution.</w:t>
      </w:r>
    </w:p>
    <w:p w14:paraId="5DE990F5" w14:textId="77777777" w:rsidR="006E6668" w:rsidRPr="003278DE" w:rsidRDefault="006E6668" w:rsidP="00F400B7">
      <w:pPr>
        <w:spacing w:line="480" w:lineRule="auto"/>
        <w:jc w:val="center"/>
        <w:rPr>
          <w:rFonts w:cs="Calibri"/>
          <w:sz w:val="22"/>
          <w:szCs w:val="22"/>
        </w:rPr>
      </w:pPr>
      <w:r w:rsidRPr="003278DE">
        <w:rPr>
          <w:rFonts w:cs="Calibri"/>
          <w:noProof/>
          <w:sz w:val="22"/>
          <w:szCs w:val="22"/>
        </w:rPr>
        <w:lastRenderedPageBreak/>
        <w:drawing>
          <wp:inline distT="0" distB="0" distL="0" distR="0" wp14:anchorId="7409C716" wp14:editId="6B05F7DE">
            <wp:extent cx="3823508" cy="3823508"/>
            <wp:effectExtent l="0" t="0" r="5715" b="5715"/>
            <wp:docPr id="18679259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25943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710" cy="38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F5964" w14:textId="40FFC10F" w:rsidR="00EF7A81" w:rsidRPr="003278DE" w:rsidRDefault="00EF7A81" w:rsidP="00F400B7">
      <w:pPr>
        <w:spacing w:line="480" w:lineRule="auto"/>
        <w:jc w:val="both"/>
        <w:rPr>
          <w:rFonts w:cs="Calibri"/>
          <w:sz w:val="22"/>
          <w:szCs w:val="22"/>
        </w:rPr>
      </w:pPr>
      <w:r w:rsidRPr="003278DE">
        <w:rPr>
          <w:rFonts w:cs="Calibri"/>
          <w:sz w:val="22"/>
          <w:szCs w:val="22"/>
        </w:rPr>
        <w:t>Figure S5 Empirical semivariogram of observed sell ratios (n = 66) with fitted spherical model. The y-intercept of the fitted curve (~0.06) represents the nugget, which corresponds to 42% of the total sill, indicating that a substantial fraction of variance occurs at distances shorter than the sampling resolution. The estimated range (~10</w:t>
      </w:r>
      <w:r w:rsidR="00635FD7" w:rsidRPr="003278DE">
        <w:rPr>
          <w:rFonts w:cs="Calibri"/>
          <w:sz w:val="22"/>
          <w:szCs w:val="22"/>
        </w:rPr>
        <w:t>6</w:t>
      </w:r>
      <w:r w:rsidRPr="003278DE">
        <w:rPr>
          <w:rFonts w:cs="Calibri"/>
          <w:sz w:val="22"/>
          <w:szCs w:val="22"/>
        </w:rPr>
        <w:t xml:space="preserve"> km) indicates moderate spatial autocorrelation. This justifies the use of NNDM cross-validation to obtain realistic spatial prediction error estimates.</w:t>
      </w:r>
    </w:p>
    <w:sectPr w:rsidR="00EF7A81" w:rsidRPr="003278DE" w:rsidSect="003278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5" w:right="1417" w:bottom="1417" w:left="1417" w:header="709" w:footer="70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0D3FA" w14:textId="77777777" w:rsidR="007655B8" w:rsidRDefault="007655B8" w:rsidP="003278DE">
      <w:r>
        <w:separator/>
      </w:r>
    </w:p>
  </w:endnote>
  <w:endnote w:type="continuationSeparator" w:id="0">
    <w:p w14:paraId="628C902C" w14:textId="77777777" w:rsidR="007655B8" w:rsidRDefault="007655B8" w:rsidP="0032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0C5E" w14:textId="77777777" w:rsidR="003278DE" w:rsidRDefault="00327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1627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8FF64C" w14:textId="6DA135FF" w:rsidR="003278DE" w:rsidRDefault="003278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C0B314" w14:textId="77777777" w:rsidR="003278DE" w:rsidRDefault="003278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42CD" w14:textId="77777777" w:rsidR="003278DE" w:rsidRDefault="00327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B5F9" w14:textId="77777777" w:rsidR="007655B8" w:rsidRDefault="007655B8" w:rsidP="003278DE">
      <w:r>
        <w:separator/>
      </w:r>
    </w:p>
  </w:footnote>
  <w:footnote w:type="continuationSeparator" w:id="0">
    <w:p w14:paraId="1BBAAA11" w14:textId="77777777" w:rsidR="007655B8" w:rsidRDefault="007655B8" w:rsidP="00327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60D7" w14:textId="77777777" w:rsidR="003278DE" w:rsidRDefault="00327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1DEE" w14:textId="77777777" w:rsidR="003278DE" w:rsidRDefault="00327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8B4D" w14:textId="77777777" w:rsidR="003278DE" w:rsidRDefault="00327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DC"/>
    <w:rsid w:val="000023FE"/>
    <w:rsid w:val="00005E9C"/>
    <w:rsid w:val="0001482B"/>
    <w:rsid w:val="00034B98"/>
    <w:rsid w:val="00054695"/>
    <w:rsid w:val="00085070"/>
    <w:rsid w:val="0009338B"/>
    <w:rsid w:val="00095FF8"/>
    <w:rsid w:val="000A1A10"/>
    <w:rsid w:val="000A6A9D"/>
    <w:rsid w:val="000B1CC2"/>
    <w:rsid w:val="000C73B1"/>
    <w:rsid w:val="000C7FD3"/>
    <w:rsid w:val="000E1C6B"/>
    <w:rsid w:val="000E38C7"/>
    <w:rsid w:val="000E5A7A"/>
    <w:rsid w:val="000E693C"/>
    <w:rsid w:val="000F47BC"/>
    <w:rsid w:val="00110C5F"/>
    <w:rsid w:val="00123D0B"/>
    <w:rsid w:val="00152F83"/>
    <w:rsid w:val="0015316F"/>
    <w:rsid w:val="00157CAA"/>
    <w:rsid w:val="00174718"/>
    <w:rsid w:val="00177B4A"/>
    <w:rsid w:val="00181815"/>
    <w:rsid w:val="00184194"/>
    <w:rsid w:val="001B38B1"/>
    <w:rsid w:val="001E179A"/>
    <w:rsid w:val="001E7189"/>
    <w:rsid w:val="001E78A0"/>
    <w:rsid w:val="001F5994"/>
    <w:rsid w:val="00243337"/>
    <w:rsid w:val="0024799F"/>
    <w:rsid w:val="00254170"/>
    <w:rsid w:val="002570E4"/>
    <w:rsid w:val="00263885"/>
    <w:rsid w:val="00270A44"/>
    <w:rsid w:val="00285DC5"/>
    <w:rsid w:val="002A2B2E"/>
    <w:rsid w:val="002B176A"/>
    <w:rsid w:val="002B704E"/>
    <w:rsid w:val="002D1B54"/>
    <w:rsid w:val="002D6165"/>
    <w:rsid w:val="002E662A"/>
    <w:rsid w:val="00305078"/>
    <w:rsid w:val="00316C36"/>
    <w:rsid w:val="00317AA4"/>
    <w:rsid w:val="003278DE"/>
    <w:rsid w:val="003471E3"/>
    <w:rsid w:val="00354E7A"/>
    <w:rsid w:val="00370701"/>
    <w:rsid w:val="00384196"/>
    <w:rsid w:val="00393FB8"/>
    <w:rsid w:val="003A6739"/>
    <w:rsid w:val="003A78C1"/>
    <w:rsid w:val="003C53A7"/>
    <w:rsid w:val="003D00FD"/>
    <w:rsid w:val="003F5688"/>
    <w:rsid w:val="00402934"/>
    <w:rsid w:val="00406C5C"/>
    <w:rsid w:val="00407B48"/>
    <w:rsid w:val="00413BB2"/>
    <w:rsid w:val="00415A28"/>
    <w:rsid w:val="00424A14"/>
    <w:rsid w:val="0044683F"/>
    <w:rsid w:val="00466D3F"/>
    <w:rsid w:val="00482851"/>
    <w:rsid w:val="00485F16"/>
    <w:rsid w:val="004923C8"/>
    <w:rsid w:val="00493786"/>
    <w:rsid w:val="004953CC"/>
    <w:rsid w:val="00497F4D"/>
    <w:rsid w:val="004A2740"/>
    <w:rsid w:val="004A3127"/>
    <w:rsid w:val="004A4CD5"/>
    <w:rsid w:val="004C5731"/>
    <w:rsid w:val="004D2107"/>
    <w:rsid w:val="004F3430"/>
    <w:rsid w:val="00501940"/>
    <w:rsid w:val="005235E7"/>
    <w:rsid w:val="00525AA9"/>
    <w:rsid w:val="00534ADF"/>
    <w:rsid w:val="0053633D"/>
    <w:rsid w:val="00570139"/>
    <w:rsid w:val="00570FE5"/>
    <w:rsid w:val="00571833"/>
    <w:rsid w:val="00573BF8"/>
    <w:rsid w:val="00573C14"/>
    <w:rsid w:val="0058217A"/>
    <w:rsid w:val="00594AE2"/>
    <w:rsid w:val="005D66FB"/>
    <w:rsid w:val="005E1B34"/>
    <w:rsid w:val="005E57C7"/>
    <w:rsid w:val="005F0760"/>
    <w:rsid w:val="006074FD"/>
    <w:rsid w:val="0061126B"/>
    <w:rsid w:val="006112F7"/>
    <w:rsid w:val="00624C44"/>
    <w:rsid w:val="00634B28"/>
    <w:rsid w:val="00635FD7"/>
    <w:rsid w:val="0065418C"/>
    <w:rsid w:val="00675BD8"/>
    <w:rsid w:val="00687D28"/>
    <w:rsid w:val="00690150"/>
    <w:rsid w:val="006A7918"/>
    <w:rsid w:val="006D2F08"/>
    <w:rsid w:val="006D4A7B"/>
    <w:rsid w:val="006E2B04"/>
    <w:rsid w:val="006E60FC"/>
    <w:rsid w:val="006E6668"/>
    <w:rsid w:val="006F7CE3"/>
    <w:rsid w:val="00755AA9"/>
    <w:rsid w:val="00755D3B"/>
    <w:rsid w:val="00765069"/>
    <w:rsid w:val="007655B8"/>
    <w:rsid w:val="00773C04"/>
    <w:rsid w:val="007772B9"/>
    <w:rsid w:val="0079442D"/>
    <w:rsid w:val="00796909"/>
    <w:rsid w:val="007B3435"/>
    <w:rsid w:val="007C1152"/>
    <w:rsid w:val="007C6C3C"/>
    <w:rsid w:val="007D7751"/>
    <w:rsid w:val="007F25D1"/>
    <w:rsid w:val="00813295"/>
    <w:rsid w:val="0082111F"/>
    <w:rsid w:val="008243C0"/>
    <w:rsid w:val="00840FDC"/>
    <w:rsid w:val="008412FE"/>
    <w:rsid w:val="008747A9"/>
    <w:rsid w:val="00877BAC"/>
    <w:rsid w:val="008A16D7"/>
    <w:rsid w:val="008A5087"/>
    <w:rsid w:val="008C1E6F"/>
    <w:rsid w:val="008E69A5"/>
    <w:rsid w:val="008F4624"/>
    <w:rsid w:val="008F7440"/>
    <w:rsid w:val="008F7653"/>
    <w:rsid w:val="00903F8C"/>
    <w:rsid w:val="00905036"/>
    <w:rsid w:val="00905CC7"/>
    <w:rsid w:val="009105C8"/>
    <w:rsid w:val="00937825"/>
    <w:rsid w:val="00945146"/>
    <w:rsid w:val="00953EEA"/>
    <w:rsid w:val="00965A54"/>
    <w:rsid w:val="00966282"/>
    <w:rsid w:val="00975F34"/>
    <w:rsid w:val="00983341"/>
    <w:rsid w:val="00986E46"/>
    <w:rsid w:val="009A3E11"/>
    <w:rsid w:val="009A3FA9"/>
    <w:rsid w:val="009A4670"/>
    <w:rsid w:val="009B2C17"/>
    <w:rsid w:val="009B5FBC"/>
    <w:rsid w:val="009B66E1"/>
    <w:rsid w:val="009C4F34"/>
    <w:rsid w:val="009E1D14"/>
    <w:rsid w:val="009F1CFF"/>
    <w:rsid w:val="009F5AFB"/>
    <w:rsid w:val="009F6B5A"/>
    <w:rsid w:val="00A01962"/>
    <w:rsid w:val="00A0677D"/>
    <w:rsid w:val="00A3191F"/>
    <w:rsid w:val="00A35FA2"/>
    <w:rsid w:val="00A36494"/>
    <w:rsid w:val="00A545A9"/>
    <w:rsid w:val="00A603FD"/>
    <w:rsid w:val="00A72EFC"/>
    <w:rsid w:val="00A81421"/>
    <w:rsid w:val="00A81A39"/>
    <w:rsid w:val="00A9534F"/>
    <w:rsid w:val="00A9773B"/>
    <w:rsid w:val="00AB67BF"/>
    <w:rsid w:val="00AB6D6F"/>
    <w:rsid w:val="00AC11C2"/>
    <w:rsid w:val="00AC44F4"/>
    <w:rsid w:val="00AD45DA"/>
    <w:rsid w:val="00AD4F6D"/>
    <w:rsid w:val="00AF31F6"/>
    <w:rsid w:val="00B03B0A"/>
    <w:rsid w:val="00B17775"/>
    <w:rsid w:val="00B22D4C"/>
    <w:rsid w:val="00B25182"/>
    <w:rsid w:val="00B30C61"/>
    <w:rsid w:val="00B41DE5"/>
    <w:rsid w:val="00B42DAF"/>
    <w:rsid w:val="00B511AB"/>
    <w:rsid w:val="00B65311"/>
    <w:rsid w:val="00B71487"/>
    <w:rsid w:val="00B7193A"/>
    <w:rsid w:val="00BA1634"/>
    <w:rsid w:val="00BB1C4B"/>
    <w:rsid w:val="00BB2BBB"/>
    <w:rsid w:val="00BC4B04"/>
    <w:rsid w:val="00BC665C"/>
    <w:rsid w:val="00BF5DD9"/>
    <w:rsid w:val="00C055FB"/>
    <w:rsid w:val="00C11830"/>
    <w:rsid w:val="00C328C9"/>
    <w:rsid w:val="00C35511"/>
    <w:rsid w:val="00C375A5"/>
    <w:rsid w:val="00C553E3"/>
    <w:rsid w:val="00C674C9"/>
    <w:rsid w:val="00C75E44"/>
    <w:rsid w:val="00C959DD"/>
    <w:rsid w:val="00CB6013"/>
    <w:rsid w:val="00CC1E62"/>
    <w:rsid w:val="00CE548D"/>
    <w:rsid w:val="00D01CDA"/>
    <w:rsid w:val="00D05507"/>
    <w:rsid w:val="00D07DCF"/>
    <w:rsid w:val="00D30AF3"/>
    <w:rsid w:val="00D3624E"/>
    <w:rsid w:val="00D430D8"/>
    <w:rsid w:val="00D44FB4"/>
    <w:rsid w:val="00D465B0"/>
    <w:rsid w:val="00D645A5"/>
    <w:rsid w:val="00D64A74"/>
    <w:rsid w:val="00D64E5C"/>
    <w:rsid w:val="00D75DE0"/>
    <w:rsid w:val="00D81264"/>
    <w:rsid w:val="00D86ECC"/>
    <w:rsid w:val="00D91E51"/>
    <w:rsid w:val="00DB1252"/>
    <w:rsid w:val="00DD62A3"/>
    <w:rsid w:val="00DE18BE"/>
    <w:rsid w:val="00E02DB0"/>
    <w:rsid w:val="00E119FF"/>
    <w:rsid w:val="00E21E86"/>
    <w:rsid w:val="00E37719"/>
    <w:rsid w:val="00E4155E"/>
    <w:rsid w:val="00E438D1"/>
    <w:rsid w:val="00E510E8"/>
    <w:rsid w:val="00E519EA"/>
    <w:rsid w:val="00E73AD2"/>
    <w:rsid w:val="00EC0DFF"/>
    <w:rsid w:val="00EC412E"/>
    <w:rsid w:val="00EC56DB"/>
    <w:rsid w:val="00ED5191"/>
    <w:rsid w:val="00ED71F3"/>
    <w:rsid w:val="00EE041A"/>
    <w:rsid w:val="00EF3494"/>
    <w:rsid w:val="00EF7A81"/>
    <w:rsid w:val="00F27E65"/>
    <w:rsid w:val="00F33EDF"/>
    <w:rsid w:val="00F400B7"/>
    <w:rsid w:val="00F51DF6"/>
    <w:rsid w:val="00F63C0B"/>
    <w:rsid w:val="00F66D6C"/>
    <w:rsid w:val="00F726F2"/>
    <w:rsid w:val="00F7333A"/>
    <w:rsid w:val="00F81C40"/>
    <w:rsid w:val="00F83186"/>
    <w:rsid w:val="00F83AAB"/>
    <w:rsid w:val="00F84705"/>
    <w:rsid w:val="00FA49AD"/>
    <w:rsid w:val="00FC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71674"/>
  <w15:chartTrackingRefBased/>
  <w15:docId w15:val="{BD20275E-C3E9-44ED-ABBD-09B7CB68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F6D"/>
    <w:pPr>
      <w:widowControl w:val="0"/>
      <w:suppressAutoHyphens/>
      <w:spacing w:after="0" w:line="240" w:lineRule="auto"/>
    </w:pPr>
    <w:rPr>
      <w:rFonts w:ascii="Calibri" w:hAnsi="Calibri" w:cs="Mangal"/>
      <w:kern w:val="1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4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F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F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F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F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F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F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F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041A"/>
    <w:rPr>
      <w:rFonts w:asciiTheme="majorHAnsi" w:eastAsiaTheme="majorEastAsia" w:hAnsiTheme="majorHAnsi" w:cstheme="majorBidi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497F4D"/>
    <w:pPr>
      <w:keepLines/>
      <w:spacing w:before="200" w:after="100"/>
    </w:pPr>
    <w:rPr>
      <w:i/>
      <w:iCs/>
      <w:color w:val="0E2841" w:themeColor="text2"/>
      <w:szCs w:val="18"/>
    </w:rPr>
  </w:style>
  <w:style w:type="paragraph" w:customStyle="1" w:styleId="table">
    <w:name w:val="table"/>
    <w:basedOn w:val="Normal"/>
    <w:link w:val="tableChar"/>
    <w:autoRedefine/>
    <w:qFormat/>
    <w:rsid w:val="00C055FB"/>
    <w:pPr>
      <w:spacing w:beforeLines="80" w:before="192"/>
      <w:jc w:val="both"/>
    </w:pPr>
    <w:rPr>
      <w:rFonts w:cs="Calibri"/>
      <w:bCs/>
      <w:i/>
      <w:color w:val="000000"/>
      <w:szCs w:val="20"/>
    </w:rPr>
  </w:style>
  <w:style w:type="character" w:customStyle="1" w:styleId="tableChar">
    <w:name w:val="table Char"/>
    <w:basedOn w:val="DefaultParagraphFont"/>
    <w:link w:val="table"/>
    <w:rsid w:val="00C055FB"/>
    <w:rPr>
      <w:rFonts w:ascii="Calibri" w:eastAsiaTheme="minorHAnsi" w:hAnsi="Calibri" w:cs="Calibri"/>
      <w:bCs/>
      <w:i/>
      <w:color w:val="000000"/>
      <w:kern w:val="1"/>
      <w:sz w:val="20"/>
      <w:szCs w:val="20"/>
      <w:lang w:val="en-GB" w:eastAsia="hi-I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40FDC"/>
    <w:rPr>
      <w:rFonts w:asciiTheme="majorHAnsi" w:eastAsiaTheme="majorEastAsia" w:hAnsiTheme="majorHAnsi" w:cstheme="majorBidi"/>
      <w:color w:val="0F4761" w:themeColor="accent1" w:themeShade="BF"/>
      <w:kern w:val="1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FDC"/>
    <w:rPr>
      <w:rFonts w:eastAsiaTheme="majorEastAsia" w:cstheme="majorBidi"/>
      <w:color w:val="0F4761" w:themeColor="accent1" w:themeShade="BF"/>
      <w:kern w:val="1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FDC"/>
    <w:rPr>
      <w:rFonts w:eastAsiaTheme="majorEastAsia" w:cstheme="majorBidi"/>
      <w:i/>
      <w:iCs/>
      <w:color w:val="0F4761" w:themeColor="accent1" w:themeShade="BF"/>
      <w:kern w:val="1"/>
      <w:sz w:val="20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FDC"/>
    <w:rPr>
      <w:rFonts w:eastAsiaTheme="majorEastAsia" w:cstheme="majorBidi"/>
      <w:color w:val="0F4761" w:themeColor="accent1" w:themeShade="BF"/>
      <w:kern w:val="1"/>
      <w:sz w:val="2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FDC"/>
    <w:rPr>
      <w:rFonts w:eastAsiaTheme="majorEastAsia" w:cstheme="majorBidi"/>
      <w:i/>
      <w:iCs/>
      <w:color w:val="595959" w:themeColor="text1" w:themeTint="A6"/>
      <w:kern w:val="1"/>
      <w:sz w:val="20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FDC"/>
    <w:rPr>
      <w:rFonts w:eastAsiaTheme="majorEastAsia" w:cstheme="majorBidi"/>
      <w:color w:val="595959" w:themeColor="text1" w:themeTint="A6"/>
      <w:kern w:val="1"/>
      <w:sz w:val="20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FDC"/>
    <w:rPr>
      <w:rFonts w:eastAsiaTheme="majorEastAsia" w:cstheme="majorBidi"/>
      <w:i/>
      <w:iCs/>
      <w:color w:val="272727" w:themeColor="text1" w:themeTint="D8"/>
      <w:kern w:val="1"/>
      <w:sz w:val="20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FDC"/>
    <w:rPr>
      <w:rFonts w:eastAsiaTheme="majorEastAsia" w:cstheme="majorBidi"/>
      <w:color w:val="272727" w:themeColor="text1" w:themeTint="D8"/>
      <w:kern w:val="1"/>
      <w:sz w:val="20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40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F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F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FDC"/>
    <w:rPr>
      <w:rFonts w:eastAsiaTheme="majorEastAsia" w:cstheme="majorBidi"/>
      <w:color w:val="595959" w:themeColor="text1" w:themeTint="A6"/>
      <w:spacing w:val="15"/>
      <w:kern w:val="1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40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FDC"/>
    <w:rPr>
      <w:rFonts w:ascii="Calibri" w:hAnsi="Calibri" w:cs="Mangal"/>
      <w:i/>
      <w:iCs/>
      <w:color w:val="404040" w:themeColor="text1" w:themeTint="BF"/>
      <w:kern w:val="1"/>
      <w:sz w:val="2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40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FDC"/>
    <w:rPr>
      <w:rFonts w:ascii="Calibri" w:hAnsi="Calibri" w:cs="Mangal"/>
      <w:i/>
      <w:iCs/>
      <w:color w:val="0F4761" w:themeColor="accent1" w:themeShade="BF"/>
      <w:kern w:val="1"/>
      <w:sz w:val="20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40FD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40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FDC"/>
    <w:pPr>
      <w:widowControl/>
      <w:suppressAutoHyphens w:val="0"/>
      <w:spacing w:after="200"/>
    </w:pPr>
    <w:rPr>
      <w:rFonts w:eastAsia="Calibri" w:cstheme="minorBidi"/>
      <w:kern w:val="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FDC"/>
    <w:rPr>
      <w:rFonts w:ascii="Calibri" w:eastAsia="Calibri" w:hAnsi="Calibri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D6165"/>
    <w:pPr>
      <w:spacing w:after="0" w:line="240" w:lineRule="auto"/>
    </w:pPr>
    <w:rPr>
      <w:rFonts w:ascii="Calibri" w:hAnsi="Calibri" w:cs="Mangal"/>
      <w:kern w:val="1"/>
      <w:sz w:val="20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12E"/>
    <w:pPr>
      <w:widowControl w:val="0"/>
      <w:suppressAutoHyphens/>
      <w:spacing w:after="0"/>
    </w:pPr>
    <w:rPr>
      <w:rFonts w:eastAsiaTheme="minorHAnsi" w:cs="Mangal"/>
      <w:b/>
      <w:bCs/>
      <w:kern w:val="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12E"/>
    <w:rPr>
      <w:rFonts w:ascii="Calibri" w:eastAsia="Calibri" w:hAnsi="Calibri" w:cs="Mangal"/>
      <w:b/>
      <w:bCs/>
      <w:kern w:val="1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278DE"/>
  </w:style>
  <w:style w:type="paragraph" w:styleId="Header">
    <w:name w:val="header"/>
    <w:basedOn w:val="Normal"/>
    <w:link w:val="HeaderChar"/>
    <w:uiPriority w:val="99"/>
    <w:unhideWhenUsed/>
    <w:rsid w:val="003278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8DE"/>
    <w:rPr>
      <w:rFonts w:ascii="Calibri" w:hAnsi="Calibri" w:cs="Mangal"/>
      <w:kern w:val="1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78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8DE"/>
    <w:rPr>
      <w:rFonts w:ascii="Calibri" w:hAnsi="Calibri" w:cs="Mangal"/>
      <w:kern w:val="1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EFA6-B5F0-4BD1-B4CA-51E05C8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Bouwmeester</dc:creator>
  <cp:keywords/>
  <dc:description/>
  <cp:lastModifiedBy>Bouwmeester, Hein</cp:lastModifiedBy>
  <cp:revision>10</cp:revision>
  <cp:lastPrinted>2026-02-22T11:42:00Z</cp:lastPrinted>
  <dcterms:created xsi:type="dcterms:W3CDTF">2026-05-12T07:57:00Z</dcterms:created>
  <dcterms:modified xsi:type="dcterms:W3CDTF">2026-05-18T11:20:00Z</dcterms:modified>
</cp:coreProperties>
</file>