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Supporting Information for:</w:t>
      </w:r>
    </w:p>
    <w:p w:rsidR="00000000" w:rsidDel="00000000" w:rsidP="00000000" w:rsidRDefault="00000000" w:rsidRPr="00000000" w14:paraId="00000002">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context, resource dynamics, and body size differences shape multidimensional niche overlap among avian frugivores of south Asian tropics</w:t>
      </w:r>
    </w:p>
    <w:p w:rsidR="00000000" w:rsidDel="00000000" w:rsidP="00000000" w:rsidRDefault="00000000" w:rsidRPr="00000000" w14:paraId="00000003">
      <w:pPr>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200" w:before="240"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of contents:</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95"/>
        <w:gridCol w:w="4650"/>
        <w:tblGridChange w:id="0">
          <w:tblGrid>
            <w:gridCol w:w="4695"/>
            <w:gridCol w:w="4650"/>
          </w:tblGrid>
        </w:tblGridChange>
      </w:tblGrid>
      <w:tr>
        <w:trPr>
          <w:cantSplit w:val="0"/>
          <w:trHeight w:val="48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Content</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Page no.</w:t>
            </w:r>
          </w:p>
        </w:tc>
      </w:tr>
      <w:tr>
        <w:trPr>
          <w:cantSplit w:val="0"/>
          <w:trHeight w:val="48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S1.</w:t>
            </w:r>
            <w:r w:rsidDel="00000000" w:rsidR="00000000" w:rsidRPr="00000000">
              <w:rPr>
                <w:rFonts w:ascii="Times New Roman" w:cs="Times New Roman" w:eastAsia="Times New Roman" w:hAnsi="Times New Roman"/>
                <w:sz w:val="24"/>
                <w:szCs w:val="24"/>
                <w:rtl w:val="0"/>
              </w:rPr>
              <w:t xml:space="preserve"> Bird species information</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r>
      <w:tr>
        <w:trPr>
          <w:cantSplit w:val="0"/>
          <w:trHeight w:val="102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S2.</w:t>
            </w:r>
            <w:r w:rsidDel="00000000" w:rsidR="00000000" w:rsidRPr="00000000">
              <w:rPr>
                <w:rFonts w:ascii="Times New Roman" w:cs="Times New Roman" w:eastAsia="Times New Roman" w:hAnsi="Times New Roman"/>
                <w:sz w:val="24"/>
                <w:szCs w:val="24"/>
                <w:rtl w:val="0"/>
              </w:rPr>
              <w:t xml:space="preserve"> GLMM results summary: fruit crop size vs. overlap</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S3.</w:t>
            </w:r>
            <w:r w:rsidDel="00000000" w:rsidR="00000000" w:rsidRPr="00000000">
              <w:rPr>
                <w:rFonts w:ascii="Times New Roman" w:cs="Times New Roman" w:eastAsia="Times New Roman" w:hAnsi="Times New Roman"/>
                <w:sz w:val="24"/>
                <w:szCs w:val="24"/>
                <w:rtl w:val="0"/>
              </w:rPr>
              <w:t xml:space="preserve"> Variation explained by random effects in the above GLMM models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S4. </w:t>
            </w:r>
            <w:r w:rsidDel="00000000" w:rsidR="00000000" w:rsidRPr="00000000">
              <w:rPr>
                <w:rFonts w:ascii="Times New Roman" w:cs="Times New Roman" w:eastAsia="Times New Roman" w:hAnsi="Times New Roman"/>
                <w:sz w:val="24"/>
                <w:szCs w:val="24"/>
                <w:rtl w:val="0"/>
              </w:rPr>
              <w:t xml:space="preserve">GLMM results summary: overlap vs. body mass difference</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 S1. </w:t>
            </w:r>
            <w:r w:rsidDel="00000000" w:rsidR="00000000" w:rsidRPr="00000000">
              <w:rPr>
                <w:rFonts w:ascii="Times New Roman" w:cs="Times New Roman" w:eastAsia="Times New Roman" w:hAnsi="Times New Roman"/>
                <w:sz w:val="24"/>
                <w:szCs w:val="24"/>
                <w:rtl w:val="0"/>
              </w:rPr>
              <w:t xml:space="preserve">Comparison between original overlaps and overlaps after controlled effort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 S2. </w:t>
            </w:r>
            <w:r w:rsidDel="00000000" w:rsidR="00000000" w:rsidRPr="00000000">
              <w:rPr>
                <w:rFonts w:ascii="Times New Roman" w:cs="Times New Roman" w:eastAsia="Times New Roman" w:hAnsi="Times New Roman"/>
                <w:sz w:val="24"/>
                <w:szCs w:val="24"/>
                <w:rtl w:val="0"/>
              </w:rPr>
              <w:t xml:space="preserve">Fruit crop size comparison between different tree categories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 S3. </w:t>
            </w:r>
            <w:r w:rsidDel="00000000" w:rsidR="00000000" w:rsidRPr="00000000">
              <w:rPr>
                <w:rFonts w:ascii="Times New Roman" w:cs="Times New Roman" w:eastAsia="Times New Roman" w:hAnsi="Times New Roman"/>
                <w:sz w:val="24"/>
                <w:szCs w:val="24"/>
                <w:rtl w:val="0"/>
              </w:rPr>
              <w:t xml:space="preserve">Mean visit duration of frugivores on focal trees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10–11</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 S4. </w:t>
            </w:r>
            <w:r w:rsidDel="00000000" w:rsidR="00000000" w:rsidRPr="00000000">
              <w:rPr>
                <w:rFonts w:ascii="Times New Roman" w:cs="Times New Roman" w:eastAsia="Times New Roman" w:hAnsi="Times New Roman"/>
                <w:sz w:val="24"/>
                <w:szCs w:val="24"/>
                <w:rtl w:val="0"/>
              </w:rPr>
              <w:t xml:space="preserve">Relationship between arrival and foraging heights of avian frugivores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12–13</w:t>
            </w:r>
          </w:p>
        </w:tc>
      </w:tr>
    </w:tbl>
    <w:p w:rsidR="00000000" w:rsidDel="00000000" w:rsidP="00000000" w:rsidRDefault="00000000" w:rsidRPr="00000000" w14:paraId="00000017">
      <w:pPr>
        <w:spacing w:after="200" w:line="48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8">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S1. </w:t>
      </w:r>
      <w:r w:rsidDel="00000000" w:rsidR="00000000" w:rsidRPr="00000000">
        <w:rPr>
          <w:rFonts w:ascii="Times New Roman" w:cs="Times New Roman" w:eastAsia="Times New Roman" w:hAnsi="Times New Roman"/>
          <w:sz w:val="24"/>
          <w:szCs w:val="24"/>
          <w:rtl w:val="0"/>
        </w:rPr>
        <w:t xml:space="preserve">Avian frugivore species included in the analyses across the two study sites. For each study site, we provide the bird species code, common name, scientific name following Clement’s taxonomy, and bird family. </w:t>
      </w:r>
    </w:p>
    <w:tbl>
      <w:tblPr>
        <w:tblStyle w:val="Table2"/>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1545"/>
        <w:gridCol w:w="975"/>
        <w:gridCol w:w="2850"/>
        <w:gridCol w:w="2640"/>
        <w:tblGridChange w:id="0">
          <w:tblGrid>
            <w:gridCol w:w="1290"/>
            <w:gridCol w:w="1545"/>
            <w:gridCol w:w="975"/>
            <w:gridCol w:w="2850"/>
            <w:gridCol w:w="26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Study site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Bird family</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Species code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Common name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Scientific name (Clement’s taxonomy)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Bucerotidae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GRHO</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Great Hornbill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Buceros bicornis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Bucerotidae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MGHO</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Malabar Grey Hornbill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Ocyceros griseus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Columbidae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GFGP</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Grey-fronted Green-Pigeon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Treron affinis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Irenidae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AFBL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Asian Fairy-bluebird</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Irena puella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Megalaimidae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MABA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Malabar Barbet</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Psilopogon malabaricus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Megalaimidae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WCBA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White-cheeked Barbet</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Psilopogon viridis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Pycnonotidae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FTBU</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Flame-throated Bulbul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Rubigula gularis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Pycnonotidae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YBBU</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Yellow-browed Bulbul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Acritillas indica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Sturnidae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SHMY</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Southern Hill Myna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Gracula indica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Bucerotidae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GRHO</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Great Hornbill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Buceros bicornis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Bucerotidae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RNHO</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Rufous-necked Hornbill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Aceros nipalensis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Bucerotidae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WRHO</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Wreathed Hornbill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Rhyticeros undulatus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Columbidae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AHGP</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Ashy-headed Green-Pigeon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Treron phayrei</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Columbidae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MIPI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Mountain Imperial-Pigeon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Ducula badia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Columbidae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PTGP</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Pin-tailed Green-Pigeon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Treron apicauda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Irenidae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AFBL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Asian Fairy-bluebird</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Irena puella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Leiothrichidae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BWMI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Blue-winged Minla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Actinodura cyanouroptera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Leiothrichidae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GNLA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Greater Necklaced Laughingthrush</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Pterorhinus pectoralis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Leiothrichidae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LTSI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Long-tailed Sibia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Heterophasia picaoides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Leiothrichidae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RBSI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Rufous-backed Sibia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Leioptila annectens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Leiothrichidae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Silver-eared Mesia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Leiothrix argentauris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Megalaimidae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BTBA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Blue-throated Barbet</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Psilopogon asiaticus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Megalaimidae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GRBA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Great Barbet</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Psilopogon virens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Pycnonotidae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ASBU</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Ashy Bulbul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Hemixos flavala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Pycnonotidae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WTBU</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White-throated Bulbul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Alophoixus flaveolus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Sturnidae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CHMY</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Common Hill Myna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Gracula religiosa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Zosteropidae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WHYU</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Whiskered Yuhina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Yuhina flavicollis</w:t>
            </w:r>
            <w:r w:rsidDel="00000000" w:rsidR="00000000" w:rsidRPr="00000000">
              <w:rPr>
                <w:rtl w:val="0"/>
              </w:rPr>
            </w:r>
          </w:p>
        </w:tc>
      </w:tr>
    </w:tbl>
    <w:p w:rsidR="00000000" w:rsidDel="00000000" w:rsidP="00000000" w:rsidRDefault="00000000" w:rsidRPr="00000000" w14:paraId="000000A5">
      <w:pPr>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after="200"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S2.</w:t>
      </w:r>
      <w:r w:rsidDel="00000000" w:rsidR="00000000" w:rsidRPr="00000000">
        <w:rPr>
          <w:rFonts w:ascii="Times New Roman" w:cs="Times New Roman" w:eastAsia="Times New Roman" w:hAnsi="Times New Roman"/>
          <w:sz w:val="24"/>
          <w:szCs w:val="24"/>
          <w:rtl w:val="0"/>
        </w:rPr>
        <w:t xml:space="preserve"> Results of the binomial generalised linear mixed-effects models (GLMMs) examining the effect of log-transformed ripe fruit availability at the level of focal tree individuals on the probability of pairwise frugivore niche overlap in vertical and temporal axes in both our study sites, Anamalai and Namdapha. Fixed-effect estimates are presented on the logit scale with standard errors (SE), </w:t>
      </w: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-scores, and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-values.</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7.142857142857"/>
        <w:gridCol w:w="1337.142857142857"/>
        <w:gridCol w:w="1337.142857142857"/>
        <w:gridCol w:w="1337.142857142857"/>
        <w:gridCol w:w="1337.142857142857"/>
        <w:gridCol w:w="1337.142857142857"/>
        <w:gridCol w:w="1337.142857142857"/>
        <w:tblGridChange w:id="0">
          <w:tblGrid>
            <w:gridCol w:w="1337.142857142857"/>
            <w:gridCol w:w="1337.142857142857"/>
            <w:gridCol w:w="1337.142857142857"/>
            <w:gridCol w:w="1337.142857142857"/>
            <w:gridCol w:w="1337.142857142857"/>
            <w:gridCol w:w="1337.142857142857"/>
            <w:gridCol w:w="1337.14285714285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Overlap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Predictor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 (logit)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-value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0.973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FCS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–6.284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FCS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FCS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0.676</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–10.66</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FCS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r>
    </w:tbl>
    <w:p w:rsidR="00000000" w:rsidDel="00000000" w:rsidP="00000000" w:rsidRDefault="00000000" w:rsidRPr="00000000" w14:paraId="000000E7">
      <w:pPr>
        <w:spacing w:after="200" w:line="48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8">
      <w:pPr>
        <w:spacing w:after="200" w:line="48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9">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S3. </w:t>
      </w:r>
      <w:r w:rsidDel="00000000" w:rsidR="00000000" w:rsidRPr="00000000">
        <w:rPr>
          <w:rFonts w:ascii="Times New Roman" w:cs="Times New Roman" w:eastAsia="Times New Roman" w:hAnsi="Times New Roman"/>
          <w:sz w:val="24"/>
          <w:szCs w:val="24"/>
          <w:rtl w:val="0"/>
        </w:rPr>
        <w:t xml:space="preserve">Random-effect variance components from the binomial generalised linear mixed-effects models (GLMMs) assessing the influence of log-transformed ripe fruit availability at the level of focal tree individuals on the probability of pairwise frugivore niche overlap in vertical and temporal axes in both our study sites, Anamalai and Namdapha. Variance and standard deviation (SD) are reported for random intercepts associated with tree identity (Tree ID) and the two species identities within each frugivore pair (Frugivore 1 and Frugivore 2).</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Overlap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Predictor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Tree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Frugivore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Frugivore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Tree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Frugivore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Frugivore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Tree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2.545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1.595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Frugivore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Frugivore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Tree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0.939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0.969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Frugivore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0.553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Frugivore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0.779</w:t>
            </w:r>
          </w:p>
        </w:tc>
      </w:tr>
    </w:tbl>
    <w:p w:rsidR="00000000" w:rsidDel="00000000" w:rsidP="00000000" w:rsidRDefault="00000000" w:rsidRPr="00000000" w14:paraId="00000138">
      <w:pPr>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S4.</w:t>
      </w:r>
      <w:r w:rsidDel="00000000" w:rsidR="00000000" w:rsidRPr="00000000">
        <w:rPr>
          <w:rFonts w:ascii="Times New Roman" w:cs="Times New Roman" w:eastAsia="Times New Roman" w:hAnsi="Times New Roman"/>
          <w:sz w:val="24"/>
          <w:szCs w:val="24"/>
          <w:rtl w:val="0"/>
        </w:rPr>
        <w:t xml:space="preserve"> Results of separate beta GLMMs (logit link) testing the effect of log-transformed body mass difference on dietary, temporal, and vertical niche overlap among frugivore species in Anamalai and Namdapha, including fixed‐effect estimates (intercept and log bodyMassDifference), standard errors (SE), </w:t>
      </w: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-scores,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-values, and marginal R-square values.</w:t>
      </w:r>
    </w:p>
    <w:tbl>
      <w:tblPr>
        <w:tblStyle w:val="Table5"/>
        <w:tblW w:w="93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0"/>
        <w:gridCol w:w="990"/>
        <w:gridCol w:w="2220"/>
        <w:gridCol w:w="1200"/>
        <w:gridCol w:w="885"/>
        <w:gridCol w:w="900"/>
        <w:gridCol w:w="960"/>
        <w:gridCol w:w="975"/>
        <w:tblGridChange w:id="0">
          <w:tblGrid>
            <w:gridCol w:w="1260"/>
            <w:gridCol w:w="990"/>
            <w:gridCol w:w="2220"/>
            <w:gridCol w:w="1200"/>
            <w:gridCol w:w="885"/>
            <w:gridCol w:w="900"/>
            <w:gridCol w:w="960"/>
            <w:gridCol w:w="975"/>
          </w:tblGrid>
        </w:tblGridChange>
      </w:tblGrid>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B">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C">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Overlap type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D">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Predictor</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E">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 (logit)</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F">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0">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-score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1">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-value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2">
            <w:pPr>
              <w:spacing w:before="240" w:line="480" w:lineRule="auto"/>
              <w:rPr>
                <w:rFonts w:ascii="Times New Roman" w:cs="Times New Roman" w:eastAsia="Times New Roman" w:hAnsi="Times New Roman"/>
                <w:i w:val="1"/>
                <w:iCs w:val="1"/>
                <w:sz w:val="24"/>
                <w:szCs w:val="24"/>
                <w:vertAlign w:val="subscript"/>
              </w:rPr>
            </w:pPr>
            <w:r w:rsidDel="00000000" w:rsidR="00000000" w:rsidRPr="00000000">
              <w:rPr>
                <w:rFonts w:ascii="Times New Roman" w:cs="Times New Roman" w:eastAsia="Times New Roman" w:hAnsi="Times New Roman"/>
                <w:i w:val="1"/>
                <w:iCs w:val="1"/>
                <w:sz w:val="24"/>
                <w:szCs w:val="24"/>
                <w:rtl w:val="0"/>
              </w:rPr>
              <w:t xml:space="preserve">R</w:t>
            </w:r>
            <w:r w:rsidDel="00000000" w:rsidR="00000000" w:rsidRPr="00000000">
              <w:rPr>
                <w:rFonts w:ascii="Times New Roman" w:cs="Times New Roman" w:eastAsia="Times New Roman" w:hAnsi="Times New Roman"/>
                <w:i w:val="1"/>
                <w:iCs w:val="1"/>
                <w:sz w:val="24"/>
                <w:szCs w:val="24"/>
                <w:vertAlign w:val="superscript"/>
                <w:rtl w:val="0"/>
              </w:rPr>
              <w:t xml:space="preserve">2</w:t>
            </w:r>
            <w:r w:rsidDel="00000000" w:rsidR="00000000" w:rsidRPr="00000000">
              <w:rPr>
                <w:rFonts w:ascii="Times New Roman" w:cs="Times New Roman" w:eastAsia="Times New Roman" w:hAnsi="Times New Roman"/>
                <w:i w:val="1"/>
                <w:iCs w:val="1"/>
                <w:sz w:val="24"/>
                <w:szCs w:val="24"/>
                <w:vertAlign w:val="subscript"/>
                <w:rtl w:val="0"/>
              </w:rPr>
              <w:t xml:space="preserve">marginal</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3">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4">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Dietary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5">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6">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7">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8">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9">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0.532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A">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B">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C">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Dietary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D">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bodyMassDifference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E">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F">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0">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1">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2">
            <w:pPr>
              <w:spacing w:before="240" w:line="480" w:lineRule="auto"/>
              <w:jc w:val="right"/>
              <w:rPr>
                <w:rFonts w:ascii="Times New Roman" w:cs="Times New Roman" w:eastAsia="Times New Roman" w:hAnsi="Times New Roman"/>
                <w:sz w:val="24"/>
                <w:szCs w:val="24"/>
              </w:rPr>
            </w:pPr>
            <w:r w:rsidDel="00000000" w:rsidR="00000000" w:rsidRPr="00000000">
              <w:rPr>
                <w:rtl w:val="0"/>
              </w:rPr>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3">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4">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Dietary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5">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6">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–0.757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7">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8">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9">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A">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B">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C">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Dietary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D">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bodyMassDifference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E">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–0.371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F">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0">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1">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2">
            <w:pPr>
              <w:spacing w:before="240" w:line="48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3">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4">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5">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6">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7">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8">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9">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A">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B">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C">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D">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bodyMassDifference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E">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–0.347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F">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0">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1">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2">
            <w:pPr>
              <w:spacing w:before="240" w:line="480" w:lineRule="auto"/>
              <w:jc w:val="right"/>
              <w:rPr>
                <w:rFonts w:ascii="Times New Roman" w:cs="Times New Roman" w:eastAsia="Times New Roman" w:hAnsi="Times New Roman"/>
                <w:sz w:val="24"/>
                <w:szCs w:val="24"/>
              </w:rPr>
            </w:pPr>
            <w:r w:rsidDel="00000000" w:rsidR="00000000" w:rsidRPr="00000000">
              <w:rPr>
                <w:rtl w:val="0"/>
              </w:rPr>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3">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4">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5">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6">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7">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8">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9">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A">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B">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C">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Vertical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D">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bodyMassDifference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E">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–0.378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F">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0">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1">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2">
            <w:pPr>
              <w:spacing w:before="240" w:line="48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3">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4">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5">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6">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–1.787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7">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0.262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8">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9">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A">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B">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Anamalai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C">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D">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bodyMassDifference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E">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F">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0">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1">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2">
            <w:pPr>
              <w:spacing w:before="240" w:line="480" w:lineRule="auto"/>
              <w:jc w:val="right"/>
              <w:rPr>
                <w:rFonts w:ascii="Times New Roman" w:cs="Times New Roman" w:eastAsia="Times New Roman" w:hAnsi="Times New Roman"/>
                <w:sz w:val="24"/>
                <w:szCs w:val="24"/>
              </w:rPr>
            </w:pPr>
            <w:r w:rsidDel="00000000" w:rsidR="00000000" w:rsidRPr="00000000">
              <w:rPr>
                <w:rtl w:val="0"/>
              </w:rPr>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3">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4">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5">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6">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–2.525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7">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8">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9">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A">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B">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Namdapha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C">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D">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bodyMassDifference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E">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–0.348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F">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0">
            <w:pPr>
              <w:spacing w:before="24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1">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2">
            <w:pPr>
              <w:spacing w:before="240" w:line="48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A3">
      <w:pPr>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826000"/>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4826000"/>
                    </a:xfrm>
                    <a:prstGeom prst="rect"/>
                    <a:ln/>
                  </pic:spPr>
                </pic:pic>
              </a:graphicData>
            </a:graphic>
          </wp:inline>
        </w:drawing>
      </w:r>
      <w:r w:rsidDel="00000000" w:rsidR="00000000" w:rsidRPr="00000000">
        <w:rPr>
          <w:rtl w:val="0"/>
        </w:rPr>
      </w:r>
    </w:p>
    <w:p w:rsidR="00000000" w:rsidDel="00000000" w:rsidP="00000000" w:rsidRDefault="00000000" w:rsidRPr="00000000" w14:paraId="000001A6">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Figure S1. </w:t>
      </w:r>
      <w:r w:rsidDel="00000000" w:rsidR="00000000" w:rsidRPr="00000000">
        <w:rPr>
          <w:rFonts w:ascii="Times New Roman" w:cs="Times New Roman" w:eastAsia="Times New Roman" w:hAnsi="Times New Roman"/>
          <w:sz w:val="24"/>
          <w:szCs w:val="24"/>
          <w:rtl w:val="0"/>
        </w:rPr>
        <w:t xml:space="preserve">Comparison of pairwise frugivore overlap between sites after standardising sampling effort (67 focal tree individuals randomly chosen from the Anamalai data to match with the number of focal tree individuals sampled in Namdapha), total frugivore and tree species richness (nine and twenty-eight species, respectively), and representation within frugivore groups (</w:t>
      </w:r>
      <w:r w:rsidDel="00000000" w:rsidR="00000000" w:rsidRPr="00000000">
        <w:rPr>
          <w:rFonts w:ascii="Times New Roman" w:cs="Times New Roman" w:eastAsia="Times New Roman" w:hAnsi="Times New Roman"/>
          <w:i w:val="1"/>
          <w:iCs w:val="1"/>
          <w:sz w:val="24"/>
          <w:szCs w:val="24"/>
          <w:rtl w:val="0"/>
        </w:rPr>
        <w:t xml:space="preserve">Irena puella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Gracula </w:t>
      </w:r>
      <w:r w:rsidDel="00000000" w:rsidR="00000000" w:rsidRPr="00000000">
        <w:rPr>
          <w:rFonts w:ascii="Times New Roman" w:cs="Times New Roman" w:eastAsia="Times New Roman" w:hAnsi="Times New Roman"/>
          <w:sz w:val="24"/>
          <w:szCs w:val="24"/>
          <w:rtl w:val="0"/>
        </w:rPr>
        <w:t xml:space="preserve">– one species; </w:t>
      </w:r>
      <w:r w:rsidDel="00000000" w:rsidR="00000000" w:rsidRPr="00000000">
        <w:rPr>
          <w:rFonts w:ascii="Times New Roman" w:cs="Times New Roman" w:eastAsia="Times New Roman" w:hAnsi="Times New Roman"/>
          <w:i w:val="1"/>
          <w:iCs w:val="1"/>
          <w:sz w:val="24"/>
          <w:szCs w:val="24"/>
          <w:rtl w:val="0"/>
        </w:rPr>
        <w:t xml:space="preserve">Treron </w:t>
      </w:r>
      <w:r w:rsidDel="00000000" w:rsidR="00000000" w:rsidRPr="00000000">
        <w:rPr>
          <w:rFonts w:ascii="Times New Roman" w:cs="Times New Roman" w:eastAsia="Times New Roman" w:hAnsi="Times New Roman"/>
          <w:sz w:val="24"/>
          <w:szCs w:val="24"/>
          <w:rtl w:val="0"/>
        </w:rPr>
        <w:t xml:space="preserve">– one species; Bucerotidae – two species; Megalaimidae – two species; and Pycnonotidae – two species). Mean (± 95% CI) pairwise frugivore niche overlap is shown for the three niche dimensions examined in this study: dietary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vertical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and temporal (</w:t>
      </w:r>
      <w:r w:rsidDel="00000000" w:rsidR="00000000" w:rsidRPr="00000000">
        <w:rPr>
          <w:rFonts w:ascii="Times New Roman" w:cs="Times New Roman" w:eastAsia="Times New Roman" w:hAnsi="Times New Roman"/>
          <w:i w:val="1"/>
          <w:i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This standardisation ensures that differences in overlap patterns between sites are not artefacts of unequal sampling effort or data structure.</w:t>
      </w:r>
    </w:p>
    <w:p w:rsidR="00000000" w:rsidDel="00000000" w:rsidP="00000000" w:rsidRDefault="00000000" w:rsidRPr="00000000" w14:paraId="000001A7">
      <w:pPr>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584700"/>
            <wp:effectExtent b="0" l="0" r="0" t="0"/>
            <wp:docPr id="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4584700"/>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Figure S2.</w:t>
      </w:r>
      <w:r w:rsidDel="00000000" w:rsidR="00000000" w:rsidRPr="00000000">
        <w:rPr>
          <w:rFonts w:ascii="Times New Roman" w:cs="Times New Roman" w:eastAsia="Times New Roman" w:hAnsi="Times New Roman"/>
          <w:sz w:val="24"/>
          <w:szCs w:val="24"/>
          <w:rtl w:val="0"/>
        </w:rPr>
        <w:t xml:space="preserve"> Comparing log-transformed ripe fruit crop size at the level of individual focal tree between different tree types: </w:t>
      </w:r>
      <w:r w:rsidDel="00000000" w:rsidR="00000000" w:rsidRPr="00000000">
        <w:rPr>
          <w:rFonts w:ascii="Times New Roman" w:cs="Times New Roman" w:eastAsia="Times New Roman" w:hAnsi="Times New Roman"/>
          <w:i w:val="1"/>
          <w:iCs w:val="1"/>
          <w:sz w:val="24"/>
          <w:szCs w:val="24"/>
          <w:rtl w:val="0"/>
        </w:rPr>
        <w:t xml:space="preserve">Ficus</w:t>
      </w:r>
      <w:r w:rsidDel="00000000" w:rsidR="00000000" w:rsidRPr="00000000">
        <w:rPr>
          <w:rFonts w:ascii="Times New Roman" w:cs="Times New Roman" w:eastAsia="Times New Roman" w:hAnsi="Times New Roman"/>
          <w:sz w:val="24"/>
          <w:szCs w:val="24"/>
          <w:rtl w:val="0"/>
        </w:rPr>
        <w:t xml:space="preserve">, non-</w:t>
      </w:r>
      <w:r w:rsidDel="00000000" w:rsidR="00000000" w:rsidRPr="00000000">
        <w:rPr>
          <w:rFonts w:ascii="Times New Roman" w:cs="Times New Roman" w:eastAsia="Times New Roman" w:hAnsi="Times New Roman"/>
          <w:i w:val="1"/>
          <w:iCs w:val="1"/>
          <w:sz w:val="24"/>
          <w:szCs w:val="24"/>
          <w:rtl w:val="0"/>
        </w:rPr>
        <w:t xml:space="preserve">Ficus</w:t>
      </w:r>
      <w:r w:rsidDel="00000000" w:rsidR="00000000" w:rsidRPr="00000000">
        <w:rPr>
          <w:rFonts w:ascii="Times New Roman" w:cs="Times New Roman" w:eastAsia="Times New Roman" w:hAnsi="Times New Roman"/>
          <w:sz w:val="24"/>
          <w:szCs w:val="24"/>
          <w:rtl w:val="0"/>
        </w:rPr>
        <w:t xml:space="preserve"> small-seeded (NF-S), non-</w:t>
      </w:r>
      <w:r w:rsidDel="00000000" w:rsidR="00000000" w:rsidRPr="00000000">
        <w:rPr>
          <w:rFonts w:ascii="Times New Roman" w:cs="Times New Roman" w:eastAsia="Times New Roman" w:hAnsi="Times New Roman"/>
          <w:i w:val="1"/>
          <w:iCs w:val="1"/>
          <w:sz w:val="24"/>
          <w:szCs w:val="24"/>
          <w:rtl w:val="0"/>
        </w:rPr>
        <w:t xml:space="preserve">Ficus</w:t>
      </w:r>
      <w:r w:rsidDel="00000000" w:rsidR="00000000" w:rsidRPr="00000000">
        <w:rPr>
          <w:rFonts w:ascii="Times New Roman" w:cs="Times New Roman" w:eastAsia="Times New Roman" w:hAnsi="Times New Roman"/>
          <w:sz w:val="24"/>
          <w:szCs w:val="24"/>
          <w:rtl w:val="0"/>
        </w:rPr>
        <w:t xml:space="preserve"> medium-seeded (NF-M), and non-</w:t>
      </w:r>
      <w:r w:rsidDel="00000000" w:rsidR="00000000" w:rsidRPr="00000000">
        <w:rPr>
          <w:rFonts w:ascii="Times New Roman" w:cs="Times New Roman" w:eastAsia="Times New Roman" w:hAnsi="Times New Roman"/>
          <w:i w:val="1"/>
          <w:iCs w:val="1"/>
          <w:sz w:val="24"/>
          <w:szCs w:val="24"/>
          <w:rtl w:val="0"/>
        </w:rPr>
        <w:t xml:space="preserve">Ficus</w:t>
      </w:r>
      <w:r w:rsidDel="00000000" w:rsidR="00000000" w:rsidRPr="00000000">
        <w:rPr>
          <w:rFonts w:ascii="Times New Roman" w:cs="Times New Roman" w:eastAsia="Times New Roman" w:hAnsi="Times New Roman"/>
          <w:sz w:val="24"/>
          <w:szCs w:val="24"/>
          <w:rtl w:val="0"/>
        </w:rPr>
        <w:t xml:space="preserve"> large-seeded (NF-L) in two study sites - Anamalai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and Namdapha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The y-axis represents means and bootstrapped 95% confidence intervals (CIs) with 1000 iterations.</w:t>
      </w:r>
    </w:p>
    <w:p w:rsidR="00000000" w:rsidDel="00000000" w:rsidP="00000000" w:rsidRDefault="00000000" w:rsidRPr="00000000" w14:paraId="000001AA">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782320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7823200"/>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Figure S3. </w:t>
      </w:r>
      <w:r w:rsidDel="00000000" w:rsidR="00000000" w:rsidRPr="00000000">
        <w:rPr>
          <w:rFonts w:ascii="Times New Roman" w:cs="Times New Roman" w:eastAsia="Times New Roman" w:hAnsi="Times New Roman"/>
          <w:sz w:val="24"/>
          <w:szCs w:val="24"/>
          <w:rtl w:val="0"/>
        </w:rPr>
        <w:t xml:space="preserve">Bar plots representing the mean (± SE) visit duration (in minutes) of each frugivore species recorded on focal trees in Anamalai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and Namdapha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Avian frugivore species are shown along the x-axis, and values on the y-axis represent the average duration of individual visits per frugivore species at each site. Scientific names corresponding to each bird code are provided in Table S1. </w:t>
      </w:r>
    </w:p>
    <w:p w:rsidR="00000000" w:rsidDel="00000000" w:rsidP="00000000" w:rsidRDefault="00000000" w:rsidRPr="00000000" w14:paraId="000001AC">
      <w:pPr>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7340600"/>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7340600"/>
                    </a:xfrm>
                    <a:prstGeom prst="rect"/>
                    <a:ln/>
                  </pic:spPr>
                </pic:pic>
              </a:graphicData>
            </a:graphic>
          </wp:inline>
        </w:drawing>
      </w:r>
      <w:r w:rsidDel="00000000" w:rsidR="00000000" w:rsidRPr="00000000">
        <w:rPr>
          <w:rtl w:val="0"/>
        </w:rPr>
      </w:r>
    </w:p>
    <w:p w:rsidR="00000000" w:rsidDel="00000000" w:rsidP="00000000" w:rsidRDefault="00000000" w:rsidRPr="00000000" w14:paraId="000001AE">
      <w:pPr>
        <w:spacing w:after="240" w:before="240" w:line="480" w:lineRule="auto"/>
        <w:rPr/>
      </w:pPr>
      <w:r w:rsidDel="00000000" w:rsidR="00000000" w:rsidRPr="00000000">
        <w:rPr>
          <w:rFonts w:ascii="Times New Roman" w:cs="Times New Roman" w:eastAsia="Times New Roman" w:hAnsi="Times New Roman"/>
          <w:b w:val="1"/>
          <w:bCs w:val="1"/>
          <w:sz w:val="24"/>
          <w:szCs w:val="24"/>
          <w:rtl w:val="0"/>
        </w:rPr>
        <w:t xml:space="preserve">Figure S4. </w:t>
      </w:r>
      <w:r w:rsidDel="00000000" w:rsidR="00000000" w:rsidRPr="00000000">
        <w:rPr>
          <w:rFonts w:ascii="Times New Roman" w:cs="Times New Roman" w:eastAsia="Times New Roman" w:hAnsi="Times New Roman"/>
          <w:sz w:val="24"/>
          <w:szCs w:val="24"/>
          <w:rtl w:val="0"/>
        </w:rPr>
        <w:t xml:space="preserve">Relationship between arrival and foraging heights of avian frugivores in Anamalai.</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 Scatterplot showing the relationship between mean arrival height and mean foraging height of frugivores on focal trees. Each point represents an individual observation of a bird species on a focal tree, with the fitted line indicating the overall trend (Spearman’s </w:t>
      </w:r>
      <w:r w:rsidDel="00000000" w:rsidR="00000000" w:rsidRPr="00000000">
        <w:rPr>
          <w:rFonts w:ascii="Times New Roman" w:cs="Times New Roman" w:eastAsia="Times New Roman" w:hAnsi="Times New Roman"/>
          <w:i w:val="1"/>
          <w:iCs w:val="1"/>
          <w:sz w:val="24"/>
          <w:szCs w:val="24"/>
          <w:rtl w:val="0"/>
        </w:rPr>
        <w:t xml:space="preserve">ρ</w:t>
      </w:r>
      <w:r w:rsidDel="00000000" w:rsidR="00000000" w:rsidRPr="00000000">
        <w:rPr>
          <w:rFonts w:ascii="Times New Roman" w:cs="Times New Roman" w:eastAsia="Times New Roman" w:hAnsi="Times New Roman"/>
          <w:sz w:val="24"/>
          <w:szCs w:val="24"/>
          <w:rtl w:val="0"/>
        </w:rPr>
        <w:t xml:space="preserve"> = 0.80,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0.001).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 Species-wise comparisons of arrival and foraging heights for the nine frugivore species included in the analysis. Bars represent mean height (m) from the tree base, and error bars indicate bootstrapped 95% confidence intervals (with 1000 iterations). Arrival height corresponds to the vertical position at which a frugivore first lands on a focal tree (recorded once per visit for an individual frugivore visitation), measured in 5-m height bins. Foraging height represents the vertical position of the frugivore during feeding, estimated at 5-minute intervals from the start of each tree watch using a laser range finder. Scientific names corresponding to each bird code are provided in Table S1. </w:t>
      </w:r>
      <w:r w:rsidDel="00000000" w:rsidR="00000000" w:rsidRPr="00000000">
        <w:rPr>
          <w:rtl w:val="0"/>
        </w:rPr>
      </w:r>
    </w:p>
    <w:sectPr>
      <w:headerReference r:id="rId10" w:type="first"/>
      <w:footerReference r:id="rId11" w:type="default"/>
      <w:footerReference r:id="rId12"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jc w:val="right"/>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