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Supplementary Table S1</w:t>
      </w:r>
    </w:p>
    <w:p>
      <w:pPr>
        <w:spacing w:after="10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Sensitivity Analysis: ML Classifier Performance Excluding Four Clinical Examination Variables</w:t>
      </w:r>
    </w:p>
    <w:p>
      <w:pPr>
        <w:spacing w:after="300"/>
        <w:jc w:val="center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(Visible lesion, Trismus, Recurrent gingival bleeding, Red/white mucosal patch excluded from predictor set)</w:t>
      </w:r>
    </w:p>
    <w:tbl>
      <w:tblPr>
        <w:tblW w:type="dxa" w:w="90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1200"/>
        <w:gridCol w:w="1000"/>
        <w:gridCol w:w="1000"/>
        <w:gridCol w:w="750"/>
        <w:gridCol w:w="850"/>
        <w:gridCol w:w="780"/>
        <w:gridCol w:w="900"/>
        <w:gridCol w:w="780"/>
        <w:gridCol w:w="780"/>
      </w:tblGrid>
      <w:tr>
        <w:trPr>
          <w:tblHeader/>
        </w:trP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Classifier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Paradigm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AUC-ROC (±SD)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Sensitivity (%)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Specificity (%)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F1-score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MCC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ECE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LR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Real-Only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0.621 ± 0.022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60.2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57.1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0.305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0.143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0.331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LR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SMOTE-Hybrid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0.619 ± 0.023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59.8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57.4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0.302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0.138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0.328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RF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Real-Only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0.658 ± 0.028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27.4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85.9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0.285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0.163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0.231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RF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SMOTE-Hybrid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0.646 ± 0.029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24.1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88.6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0.272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0.165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0.189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GB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Real-Only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0.671 ± 0.031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6.8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99.1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0.122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0.168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0.023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GB★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SMOTE-Hybrid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0.651 ± 0.024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20.9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93.7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0.276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0.204★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0.145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SVM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Real-Only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0.628 ± 0.024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0.0‡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100.0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0.000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0.018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SVM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SMOTE-Hybrid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0.615 ± 0.023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32.7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79.6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0.271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0.120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0.174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MLP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Real-Only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0.501 ± 0.020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0.0‡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100.0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0.000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0.078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MLP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SMOTE-Hybrid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0.591 ± 0.027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23.4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84.8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0.233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0.099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0.193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DT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Real-Only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0.623 ± 0.024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58.7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60.4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0.309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0.149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0.293</w:t>
            </w:r>
          </w:p>
        </w:tc>
      </w:tr>
      <w:tr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DT</w:t>
            </w:r>
          </w:p>
        </w:tc>
        <w:tc>
          <w:tcPr>
            <w:tcW w:type="dxa" w:w="12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SMOTE-Hybrid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0.603 ± 0.018</w:t>
            </w:r>
          </w:p>
        </w:tc>
        <w:tc>
          <w:tcPr>
            <w:tcW w:type="dxa" w:w="10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33.1</w:t>
            </w:r>
          </w:p>
        </w:tc>
        <w:tc>
          <w:tcPr>
            <w:tcW w:type="dxa" w:w="7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80.9</w:t>
            </w:r>
          </w:p>
        </w:tc>
        <w:tc>
          <w:tcPr>
            <w:tcW w:type="dxa" w:w="85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0.278</w:t>
            </w:r>
          </w:p>
        </w:tc>
        <w:tc>
          <w:tcPr>
            <w:tcW w:type="dxa" w:w="78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0.144</w:t>
            </w:r>
          </w:p>
        </w:tc>
        <w:tc>
          <w:tcPr>
            <w:tcW w:type="dxa" w:w="900"/>
            <w:tcBorders>
              <w:top w:val="single" w:color="2E75B6" w:sz="4"/>
              <w:left w:val="single" w:color="2E75B6" w:sz="4"/>
              <w:bottom w:val="single" w:color="2E75B6" w:sz="4"/>
              <w:right w:val="single" w:color="2E75B6" w:sz="4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0.169</w:t>
            </w:r>
          </w:p>
        </w:tc>
      </w:tr>
    </w:tbl>
    <w:p>
      <w:pPr>
        <w:spacing w:before="24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Notes: </w:t>
      </w:r>
      <w:r>
        <w:rPr>
          <w:rFonts w:ascii="Arial" w:cs="Arial" w:eastAsia="Arial" w:hAnsi="Arial"/>
          <w:sz w:val="18"/>
          <w:szCs w:val="18"/>
        </w:rPr>
        <w:t xml:space="preserve">5-fold stratified cross-validation; N = 3,700. AUC-ROC differences compared to full-feature models (Table 2) were &lt;0.04 across all paradigm–classifier combinations. Superiority of SMOTE-Hybrid over Real-Only training and calibration findings were insensitive to exclusion of clinical examination variables.</w:t>
      </w:r>
    </w:p>
    <w:p>
      <w:pPr>
        <w:spacing w:before="120"/>
      </w:pPr>
      <w:r>
        <w:rPr>
          <w:rFonts w:ascii="Arial" w:cs="Arial" w:eastAsia="Arial" w:hAnsi="Arial"/>
          <w:i/>
          <w:iCs/>
          <w:color w:val="595959"/>
          <w:sz w:val="16"/>
          <w:szCs w:val="16"/>
        </w:rPr>
        <w:t xml:space="preserve">★ Best overall MCC in sensitivity analysis (GB/SMOTE-Hybrid).   ‡ Complete threshold collapse (sensitivity = 0.0%).   LR = Logistic Regression; RF = Random Forest; GB = Gradient Boosting; SVM = Support Vector Machine; MLP = Multilayer Perceptron; DT = Decision Tree; MCC = Matthews Correlation Coefficient; ECE = Expected Calibration Error; AUC-ROC = Area Under the Receiver Operating Characteristic Curve.</w:t>
      </w:r>
    </w:p>
    <w:sectPr>
      <w:pgSz w:w="16838" w:h="11906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2026-05-19T14:31:40.324Z</dcterms:created>
  <dcterms:modified xsi:type="dcterms:W3CDTF">2026-05-19T14:31:40.324Z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