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rPr>
          <w:lang w:eastAsia="zh-CN"/>
        </w:rPr>
      </w:pPr>
      <w:bookmarkStart w:id="0" w:name="_GoBack"/>
      <w:bookmarkEnd w:id="0"/>
      <w:r>
        <w:t>Supplementary Material</w:t>
      </w:r>
    </w:p>
    <w:p>
      <w:pPr>
        <w:spacing w:line="480" w:lineRule="auto"/>
        <w:rPr>
          <w:b/>
          <w:sz w:val="20"/>
          <w:szCs w:val="20"/>
          <w:lang w:eastAsia="zh-CN"/>
        </w:rPr>
      </w:pPr>
    </w:p>
    <w:p>
      <w:pPr>
        <w:spacing w:line="480" w:lineRule="auto"/>
        <w:contextualSpacing/>
        <w:rPr>
          <w:sz w:val="20"/>
          <w:szCs w:val="20"/>
        </w:rPr>
      </w:pPr>
      <w:r>
        <w:rPr>
          <w:b/>
          <w:sz w:val="20"/>
          <w:szCs w:val="20"/>
        </w:rPr>
        <w:t xml:space="preserve">Table </w:t>
      </w:r>
      <w:r>
        <w:rPr>
          <w:rFonts w:hint="eastAsia"/>
          <w:b/>
          <w:sz w:val="20"/>
          <w:szCs w:val="20"/>
        </w:rPr>
        <w:t>1</w:t>
      </w:r>
      <w:r>
        <w:rPr>
          <w:rFonts w:hint="eastAsia"/>
          <w:b/>
          <w:sz w:val="20"/>
          <w:szCs w:val="20"/>
          <w:lang w:eastAsia="zh-CN"/>
        </w:rPr>
        <w:t>.</w:t>
      </w:r>
      <w:r>
        <w:rPr>
          <w:sz w:val="20"/>
          <w:szCs w:val="20"/>
        </w:rPr>
        <w:t xml:space="preserve"> List of the top </w:t>
      </w:r>
      <w:r>
        <w:rPr>
          <w:rFonts w:hint="eastAsia"/>
          <w:sz w:val="20"/>
          <w:szCs w:val="20"/>
          <w:lang w:eastAsia="zh-CN"/>
        </w:rPr>
        <w:t>10</w:t>
      </w:r>
      <w:r>
        <w:rPr>
          <w:sz w:val="20"/>
          <w:szCs w:val="20"/>
        </w:rPr>
        <w:t xml:space="preserve">0 most cited articles on </w:t>
      </w:r>
      <w:r>
        <w:rPr>
          <w:rFonts w:hint="eastAsia"/>
          <w:sz w:val="20"/>
          <w:szCs w:val="20"/>
          <w:lang w:eastAsia="zh-CN"/>
        </w:rPr>
        <w:t>PBC</w:t>
      </w:r>
      <w:r>
        <w:rPr>
          <w:sz w:val="20"/>
          <w:szCs w:val="20"/>
        </w:rPr>
        <w:t>.</w:t>
      </w:r>
    </w:p>
    <w:tbl>
      <w:tblPr>
        <w:tblStyle w:val="29"/>
        <w:tblW w:w="903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3233"/>
        <w:gridCol w:w="1276"/>
        <w:gridCol w:w="1276"/>
        <w:gridCol w:w="1417"/>
        <w:gridCol w:w="99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80" w:hRule="atLeast"/>
        </w:trPr>
        <w:tc>
          <w:tcPr>
            <w:tcW w:w="8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32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DengXian" w:cs="Times New Roman"/>
                <w:sz w:val="20"/>
                <w:szCs w:val="20"/>
              </w:rPr>
              <w:t>Year of Publication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hint="eastAsia" w:eastAsia="DengXian" w:cs="Times New Roman"/>
                <w:sz w:val="20"/>
                <w:szCs w:val="20"/>
                <w:lang w:eastAsia="zh-CN"/>
              </w:rPr>
              <w:t xml:space="preserve">First </w:t>
            </w:r>
            <w:r>
              <w:rPr>
                <w:rFonts w:eastAsia="DengXian" w:cs="Times New Roman"/>
                <w:sz w:val="20"/>
                <w:szCs w:val="20"/>
              </w:rPr>
              <w:t>Author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Journal of Publication</w:t>
            </w: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Total Citations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66" w:hRule="atLeast"/>
        </w:trPr>
        <w:tc>
          <w:tcPr>
            <w:tcW w:w="844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3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Lindor, KD</w:t>
            </w: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429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 Placebo-Controlled Trial of Obeticholic Acid in Primary Biliary Cholangitis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</w:rPr>
              <w:t>Nevens, F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New Engl J Med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66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 Associated with HLA, IL12A, and IL12RB2 Variants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New Engl J Med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EASL Clinical Practice Guidelines: The diagnosis and management of patients with primary biliary cholangitis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2017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Epidemiology of primary sclerosing cholangitis and primary biliary cirrhosis: A systematic review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Boonstra, K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95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Efficacy of Obeticholic Acid in Patients With Primary Biliary Cirrhosis and Inadequate Response to Ursodeoxycholic Acid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685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Genome-wide meta-analyses identify three loci associated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Liu, XD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Nat Genet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Improved Prognosis of Patients With Primary Biliary Cirrhosis That Have a Biochemical Response to Ursodeoxycholic Acid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Kuiper, EMM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8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Carey, EJ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Lancet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996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Sex and Age Are Determinants of the Clinical Phenotype of Primary Biliary Cirrhosis and Response to Ursodeoxycholic Acid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Carbone, M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Levels of Alkaline Phosphatase and Bilirubin Are Surrogate End Points of Outcomes of Patients With Primary Biliary Cirrhosis: An International Follow-up Study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Lammers, WJ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39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Early primary biliary cirrhosis: Biochemical response to treatment and prediction of long-term outcome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Corpechot, C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55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</w:rPr>
              <w:t>Selmi, C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Lancet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Baseline Ductopenia and Treatment Response Predict Long-Term Histological Progression in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Kumagi, T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Am J Gastroenterol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The Immunobiology and Pathophysiology of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Annu Rev Pathol-Mech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06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cirrhosis: A 2010 update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Poupon, R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943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Development and Validation of a Scoring System to Predict Outcomes of Patients With Primary Biliary Cirrhosis Receiving Ursodeoxycholic Acid Therapy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Lammers, WJ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Dense fine-mapping study identifies new susceptibility loci for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Liu, JZ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Nat Genet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Noninvasive elastography-based assessment of liver fibrosis progression and prognosis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Corpechot, C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Genome-wide Association Study Identifies TNFSF15 and POU2AF1 as Susceptibility Loci for Primary Biliary Cirrhosis in the Japanese Population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Nakamura, M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Am J Hum Genet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Variants at IRF5-TNPO3, 17q12-21 and MMEL1 are associated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Nat Genet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 is associated with altered hepatic microRNA expression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Padgett, KA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Biliary Apotopes and Anti-Mitochondrial Antibodies Activate Innate Immune Responses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 Placebo-Controlled Trial of Bezafibrate in Primary Biliary Cholangitis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2018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Corpechot, C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New Engl J Med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18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Hepatic IL-17 responses in human and murine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Lan, RYZ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97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Cholangitis: 2018 Practice Guidance from the American Association for the Study of Liver Diseases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Lindor, KD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The Demography 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o</w:t>
            </w:r>
            <w:r>
              <w:rPr>
                <w:rFonts w:eastAsia="宋体" w:cs="Times New Roman"/>
                <w:sz w:val="20"/>
                <w:szCs w:val="20"/>
              </w:rPr>
              <w:t xml:space="preserve">f Primary Biliary-Cirrhosis 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i</w:t>
            </w:r>
            <w:r>
              <w:rPr>
                <w:rFonts w:eastAsia="宋体" w:cs="Times New Roman"/>
                <w:sz w:val="20"/>
                <w:szCs w:val="20"/>
              </w:rPr>
              <w:t>n Ontario, Canada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1990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Wittsullivan, H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233" w:type="dxa"/>
            <w:vAlign w:val="center"/>
          </w:tcPr>
          <w:p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Apotopes and the Biliary Specificity of Primary Biliary Cirrhosis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The UK-PBC Risk Scores: Derivation and Validation of a Scoring System for Long-Term Prediction of End-Stage Liver Disease in Primary Biliary Cholangitis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Carbone, 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Development, validation, and evaluation of the PBC-40, a disease specific health related quality of life measure for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Jacoby,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Up-regulation of microRNA 506 leads to decreased Cl-/HCO3- anion exchanger 2 expression in biliary epithelium of patients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Banales, JM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Demographic, lifestyle, medical and familial factors associated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Corpechot, C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33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International genome-wide meta-analysis identifies new primary biliary cirrhosis risk loci and targetable pathogenic pathways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Cordell, HJ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Nat Commun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Gut microbial profile is altered in primary biliary cholangitis and partially restored after UDCA therapy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2018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Tang, RQ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98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35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Hohenester, S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Semin Immunopathol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Periductal interleukin-17 production in association with biliary innate immunity contributes to the pathogenesis of cholangiopathy in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Harada, K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Clin Exp Immunol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IL-12/Th1 and IL-23/Th17 Biliary Microenvironment in Primary Biliary Cirrhosis: Implications for Therapy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Yang, CY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Imbalance between T helper type 17 and T regulatory cells in patients with primary biliary cirrhosis: the serum cytokine profile and peripheral cell population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Rong, G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Clin Exp Immunol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 pilot study of umbilical cord-derived mesenchymal stem cell transfusion in patients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Wang, LF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Gastroen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Anticholestatic Effects of Bezafibrate in Patients with Primary Biliary Cirrhosis Treated with Ursodeoxycholic Acid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Honda,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Pilot study: fenofibrate for patients with primary biliary cirrhosis and an incomplete response to ursodeoxycholic acid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Levy, C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Aliment Pharm Ther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Case-control studies of risk factors for primary biliary cirrhosis in two United Kingdom populations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Prince, MI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43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Immunochip analyses identify a novel risk locus for primary biliary cirrhosis at 13q14, multiple independent associations at four established risk loci and epistasis between 1p31 and 7q32 risk variants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Juran, BD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Hum Mol Genet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44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Alterations and correlations of the gut microbiome, metabolism and immunity in patients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Lv, LX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Environ Microbiol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45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Biochemical and immunologic effects of rituximab in patients with primary biliary cirrhosis and an incomplete response to ursodeoxycholic acid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Tsuda, 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Application of a new histological staging and grading system for primary biliary cirrhosis to liver biopsy specimens: Interobserver agreement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Nakanuma, Y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Pathol Int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Impact of Primary Biliary Cirrhosis on Perceived Quality of Life: The UK-PBC National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Mells, GF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 randomized trial of obeticholic acid monotherapy in patients with primary biliary cholangitis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2018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Kowdley, KV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49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Serum Wisteria floribunda Agglutinin-Positive Mac-2-Binding Protein Level Predicts Liver Fibrosis and Prognosis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Umemura, T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Am J Gastroenterol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Epidemiology and Natural History of Primary Biliary Cirrhosis in a Canadian Health Region: A Population-Based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Myers, RP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51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PBC Screen An IgG/IgA dual isotype ELISA detecting multiple mitochondrial and nuclear autoantibodies specific for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Liu, HY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52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Vitamin D deficiency in cirrhosis relates to liver dysfunction rather than aetiology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Malham, 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World J Gastroentero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53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Primary Biliary-Cirrhosis - Geographical Clustering 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a</w:t>
            </w:r>
            <w:r>
              <w:rPr>
                <w:rFonts w:eastAsia="宋体" w:cs="Times New Roman"/>
                <w:sz w:val="20"/>
                <w:szCs w:val="20"/>
              </w:rPr>
              <w:t>nd Symptomatic Onset Seasonality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1983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HAMLYN, AN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39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Effect of ileal bile acid transporter inhibitor GSK2330672 on pruritus in primary biliary cholangitis: a double-blind, randomised, placebo-controlled, crossover, phase 2a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2017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Hegade, VS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Lancet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55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The diagnosis of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Bowlus, CL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Autoimmun Rev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56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Immunoglobulin M levels inversely correlate with CD40 ligand promoter methylation in patients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57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Autophagy mediates the process of cellular senescence characterizing bile duct damages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Sasaki, 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Lab Invest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58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Stratification of hepatocellular carcinoma risk in primary biliary cirrhosis: a multicentre international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Trivedi, PJ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59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Optimising risk stratification in primary biliary cirrhosis: AST/platelet ratio index predicts outcome independent of ursodeoxycholic acid response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Trivedi, PJ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Metabolomic profiling of 17 bile acids in serum from patients with primary biliary cirrhosis and primary sclerosing cholangitis: A pilot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Trottier, J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Digest Liver Dis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61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Interaction Between Toll-Like Receptors and Natural Killer Cells in the Destruction of Bile Ducts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Shimoda, S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62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Novel therapeutic targets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Dyson, JK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Nat Rev Gastro Hepat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63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The British Society of Gastroenterology/UK-PBC primary biliary cholangitis treatment and management guidelines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2018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64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Changing nomenclature for PBC: From cirrhosis' to cholangitis'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Beuers, U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The immunogenetics of primary biliary cirrhosis: A comprehensive review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Webb, GJ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66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Extrahepatic Autoimmune Conditions Associated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Floreani,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Clin Rev Allerg Immu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67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CXCR5(+) CD4(+) T Follicular Helper Cells Participate in the Pathogenesis of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Wang, LF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68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binary cirrhosis and Sjogren's syndrome: Autoimmune epithelitis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Selmi, C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69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Effect of ursodeoxycholic acid on bile acid profiles and intestinal detoxification machinery in primary biliary cirrhosis and health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Dilger, K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Therapeutic Effect of Cytotoxic T Lymphocyte Antigen 4/Immunoglobulin on a Murine Model of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Dhirapong,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71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Disease-specific autoantibodies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Bogdanos, DP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Clin Chim Acta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72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Bezafibrate normalizes alkaline phosphatase in primary biliary cirrhosis patients with incomplete response to ursodeoxycholic acid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Lens, S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Liver Int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73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B-Cell Depletion With Rituximab in Patients With Primary Biliary Cirrhosis Refractory to Ursodeoxycholic Acid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Myers, RP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Am J Gastroenterol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74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Deletion of Interleukin (IL)-12p35 Induces Liver Fibrosis in Dominant-Negative TGF beta Receptor Type II Mice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Tsuda, 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75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Innate Immunity and Primary Biliary Cirrhosis: Activated Invariant Natural Killer T Cells Exacerbate Murine Autoimmune Cholangitis and Fibrosis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Wu, SJ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76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B-Cell Depletion with Anti-CD20 Ameliorates Autoimmune Cholangitis but Exacerbates Colitis in Transforming Growth Factor-beta Receptor II Dominant Negative Mice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Moritoki, Y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77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Ustekinumab for Patients With Primary Biliary Cholangitis Who Have an Inadequate Response to Ursodeoxycholic Acid: A Proof-of-Concept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78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New simple prognostic score for primary biliary cirrhosis: Albumin-bilirubin score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Chan, AWH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Gastroen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79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Low Bone Mass and Severity of Cholestasis Affect Fracture Risk in Patients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Guanabens, N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80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Vitamin D receptor polymorphisms are associated with increased susceptibility to primary biliary cirrhosis in Japanese and Italian populations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Tanaka,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 comprehensive evaluation of serum autoantibodies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Agmon-Levin, N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82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Deficiency in Regulatory T Cells Results in Development of Antimitochondrial Antibodies and Autoimmune Cholangitis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Zhang, WC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83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Activation of necroptosis in human and experimental cholestasis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Afonso, MB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Cell Death Dis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84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Evolving Trends in Female to Male Incidence and Male Mortality of Primary Biliary Cholangitis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Sci Rep-Uk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85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Y chromosome loss in male patients with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Identification of New Autoantigens for Primary Biliary Cirrhosis Using Human Proteome Microarrays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Hu, CJ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Mol Cell Proteomics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87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Ursodeoxycholic acid for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Rudic, JS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Cochrane Db Syst Rev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88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Autoimmune Hepatitis-PBC Overlap Syndrome: A Simplified Scoring System May Assist in the Diagnosis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Neuhauser, 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Am J Gastroenterol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89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Incidence, Risk Factors, and Survival of Hepatocellular Carcinoma in Primary Biliary Cirrhosis: Comparative Analysis from Two Centers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Cavazza, A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90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Rising incidence and prevalence of primary biliary cirrhosis: a large population-based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Boonstra, K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Liver Int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91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 and cancer risk: A systematic review and meta-analysis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Liang, Y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10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The role of environmental factors in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Selmi, C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Trends Immunol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2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93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Bacteria and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Bogdanos, DP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Clin Rev Allerg Immu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94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Combined ursodeoxycholic acid (UDCA) and fenofibrate in primary biliary cholangitis patients with incomplete UDCA response may improve outcomes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Cheung, AC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Aliment Pharm Ther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39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95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Distinct MicroRNAs Expression Profile in Primary Biliary Cirrhosis and Evaluation of miR 505-3p and miR197-3p as Novel Biomarkers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Ninomiya, M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Plos One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96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Primary Biliary Cirrhosis (PBC), PBC Autoantibodies, and Hepatic Parameter Abnormalities in a Large Population of Systemic Sclerosis Patients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Assassi, S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 Rheumatol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97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Seladelpar (MBX-8025), a selective PPAR-delta agonist, in patients with primary biliary cholangitis with an inadequate response to ursodeoxycholic acid: a double-blind, randomised, placebo-controlled, phase 2, proof-of-concept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2017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Jones, D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Lancet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eastAsia="宋体" w:cs="Times New Roman"/>
                <w:sz w:val="20"/>
                <w:szCs w:val="20"/>
              </w:rPr>
              <w:t>Gastroenterol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Early Biochemical Response to Ursodeoxycholic Acid and Long-Term Prognosis of Primary Biliary Cirrhosis: Results of a 14-Year Cohort Study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Zhang, LN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99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Are Transient Environmental Agents Involved in the Cause of Primary Biliary Cirrhosis? Evidence from Space-Time Clustering Analysis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McNally, RJQ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844" w:type="dxa"/>
            <w:vAlign w:val="center"/>
          </w:tcPr>
          <w:p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3233" w:type="dxa"/>
            <w:vAlign w:val="center"/>
          </w:tcPr>
          <w:p>
            <w:pPr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B Cells Suppress the Inflammatory Response in a Mouse Model of Primary Biliary Cirrhosis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Moritoki, Y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65</w:t>
            </w:r>
          </w:p>
        </w:tc>
      </w:tr>
    </w:tbl>
    <w:p>
      <w:pPr>
        <w:spacing w:line="360" w:lineRule="auto"/>
        <w:rPr>
          <w:bCs/>
          <w:szCs w:val="21"/>
          <w:lang w:eastAsia="zh-CN"/>
        </w:rPr>
      </w:pPr>
    </w:p>
    <w:p>
      <w:pPr>
        <w:spacing w:line="360" w:lineRule="auto"/>
        <w:contextualSpacing/>
        <w:rPr>
          <w:b/>
          <w:bCs/>
          <w:sz w:val="20"/>
          <w:szCs w:val="20"/>
          <w:lang w:eastAsia="zh-CN"/>
        </w:rPr>
      </w:pPr>
      <w:r>
        <w:rPr>
          <w:rFonts w:eastAsia="宋体" w:cs="Times New Roman"/>
          <w:b/>
          <w:bCs/>
          <w:sz w:val="20"/>
          <w:szCs w:val="20"/>
          <w:lang w:eastAsia="zh-CN"/>
        </w:rPr>
        <w:t xml:space="preserve">Table </w:t>
      </w:r>
      <w:r>
        <w:rPr>
          <w:rFonts w:hint="eastAsia" w:eastAsia="宋体" w:cs="Times New Roman"/>
          <w:b/>
          <w:bCs/>
          <w:sz w:val="20"/>
          <w:szCs w:val="20"/>
          <w:lang w:eastAsia="zh-CN"/>
        </w:rPr>
        <w:t>2.</w:t>
      </w:r>
      <w:r>
        <w:rPr>
          <w:rFonts w:eastAsia="宋体" w:cs="Times New Roman"/>
          <w:b/>
          <w:bCs/>
          <w:sz w:val="20"/>
          <w:szCs w:val="20"/>
          <w:lang w:eastAsia="zh-CN"/>
        </w:rPr>
        <w:t xml:space="preserve"> </w:t>
      </w:r>
      <w:r>
        <w:rPr>
          <w:rFonts w:eastAsia="宋体" w:cs="Times New Roman"/>
          <w:bCs/>
          <w:sz w:val="20"/>
          <w:szCs w:val="20"/>
          <w:lang w:eastAsia="zh-CN"/>
        </w:rPr>
        <w:t>The top ten countries ranked by the citation number of articles.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7"/>
        <w:gridCol w:w="1701"/>
        <w:gridCol w:w="1418"/>
        <w:gridCol w:w="1559"/>
        <w:gridCol w:w="284"/>
      </w:tblGrid>
      <w:tr>
        <w:trPr>
          <w:trHeight w:val="818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Country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No. of articles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Citations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sz w:val="20"/>
                <w:szCs w:val="20"/>
                <w:lang w:eastAsia="zh-CN"/>
              </w:rPr>
              <w:t>Average</w:t>
            </w: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cs="Times New Roman"/>
                <w:bCs/>
                <w:sz w:val="20"/>
                <w:szCs w:val="20"/>
                <w:lang w:eastAsia="zh-CN"/>
              </w:rPr>
              <w:t>citations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52</w:t>
            </w:r>
          </w:p>
        </w:tc>
        <w:tc>
          <w:tcPr>
            <w:tcW w:w="1418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7095</w:t>
            </w:r>
          </w:p>
        </w:tc>
        <w:tc>
          <w:tcPr>
            <w:tcW w:w="1559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36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UK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3671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22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Canada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4194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82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Japan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2278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Italy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2772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26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1463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Australia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1837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31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Netherlands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2069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59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France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2355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96</w:t>
            </w:r>
          </w:p>
        </w:tc>
      </w:tr>
      <w:tr>
        <w:trPr>
          <w:gridAfter w:val="1"/>
          <w:wAfter w:w="284" w:type="dxa"/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417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Spain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418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1707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55</w:t>
            </w:r>
          </w:p>
        </w:tc>
      </w:tr>
    </w:tbl>
    <w:p>
      <w:pPr>
        <w:spacing w:line="360" w:lineRule="auto"/>
        <w:jc w:val="both"/>
        <w:rPr>
          <w:rFonts w:cs="Times New Roman"/>
          <w:bCs/>
          <w:sz w:val="20"/>
          <w:szCs w:val="20"/>
          <w:lang w:eastAsia="zh-CN"/>
        </w:rPr>
      </w:pPr>
      <w:r>
        <w:rPr>
          <w:rFonts w:cs="Times New Roman"/>
          <w:bCs/>
          <w:sz w:val="20"/>
          <w:szCs w:val="20"/>
        </w:rPr>
        <w:t>USA: United States of America; UK: United Kingdom.</w:t>
      </w:r>
    </w:p>
    <w:p>
      <w:pPr>
        <w:spacing w:line="360" w:lineRule="auto"/>
        <w:jc w:val="both"/>
        <w:rPr>
          <w:rFonts w:cs="Times New Roman"/>
          <w:bCs/>
          <w:sz w:val="20"/>
          <w:szCs w:val="20"/>
          <w:lang w:eastAsia="zh-CN"/>
        </w:rPr>
      </w:pPr>
    </w:p>
    <w:p>
      <w:pPr>
        <w:spacing w:before="0" w:after="0" w:line="360" w:lineRule="auto"/>
        <w:jc w:val="both"/>
        <w:rPr>
          <w:rFonts w:eastAsia="宋体" w:cs="Times New Roman"/>
          <w:bCs/>
          <w:sz w:val="20"/>
          <w:szCs w:val="20"/>
          <w:lang w:eastAsia="zh-CN"/>
        </w:rPr>
      </w:pPr>
      <w:r>
        <w:rPr>
          <w:rFonts w:eastAsia="宋体" w:cs="Times New Roman"/>
          <w:b/>
          <w:bCs/>
          <w:sz w:val="20"/>
          <w:szCs w:val="20"/>
          <w:lang w:eastAsia="zh-CN"/>
        </w:rPr>
        <w:t xml:space="preserve">Table </w:t>
      </w:r>
      <w:r>
        <w:rPr>
          <w:rFonts w:hint="eastAsia" w:eastAsia="宋体" w:cs="Times New Roman"/>
          <w:b/>
          <w:bCs/>
          <w:sz w:val="20"/>
          <w:szCs w:val="20"/>
          <w:lang w:eastAsia="zh-CN"/>
        </w:rPr>
        <w:t>3.</w:t>
      </w:r>
      <w:r>
        <w:rPr>
          <w:rFonts w:eastAsia="宋体" w:cs="Times New Roman"/>
          <w:b/>
          <w:bCs/>
          <w:sz w:val="20"/>
          <w:szCs w:val="20"/>
          <w:lang w:eastAsia="zh-CN"/>
        </w:rPr>
        <w:t xml:space="preserve"> </w:t>
      </w:r>
      <w:r>
        <w:rPr>
          <w:rFonts w:eastAsia="宋体" w:cs="Times New Roman"/>
          <w:bCs/>
          <w:sz w:val="20"/>
          <w:szCs w:val="20"/>
          <w:lang w:eastAsia="zh-CN"/>
        </w:rPr>
        <w:t>The top ten institutions ranked by the citation number of articles.</w:t>
      </w:r>
    </w:p>
    <w:tbl>
      <w:tblPr>
        <w:tblStyle w:val="29"/>
        <w:tblW w:w="747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984"/>
        <w:gridCol w:w="1701"/>
        <w:gridCol w:w="1560"/>
        <w:gridCol w:w="127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1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Institution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Publications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Country</w:t>
            </w: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sz w:val="20"/>
                <w:szCs w:val="20"/>
                <w:lang w:eastAsia="zh-CN"/>
              </w:rPr>
              <w:t>Citations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Univ Calif Davis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1560" w:type="dxa"/>
            <w:tcBorders>
              <w:top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275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4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451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Univ Birmingham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England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503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Univ Milan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Italy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123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Mayo Clin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935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Newcastle Univ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England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859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Monash Univ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Australia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403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Univ Toronto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Canada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462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Emory Univ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206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Arizona State Univ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829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959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984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Toyama Univ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560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Denmark</w:t>
            </w:r>
          </w:p>
        </w:tc>
        <w:tc>
          <w:tcPr>
            <w:tcW w:w="1275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bCs/>
                <w:color w:val="000000"/>
                <w:sz w:val="20"/>
                <w:szCs w:val="20"/>
                <w:lang w:eastAsia="zh-CN"/>
              </w:rPr>
              <w:t>8</w:t>
            </w:r>
            <w:r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53</w:t>
            </w:r>
          </w:p>
        </w:tc>
      </w:tr>
    </w:tbl>
    <w:p>
      <w:pPr>
        <w:spacing w:before="0" w:after="0" w:line="360" w:lineRule="auto"/>
        <w:jc w:val="both"/>
        <w:rPr>
          <w:rFonts w:eastAsia="宋体" w:cs="Times New Roman"/>
          <w:b/>
          <w:bCs/>
          <w:sz w:val="20"/>
          <w:szCs w:val="20"/>
          <w:lang w:eastAsia="zh-CN"/>
        </w:rPr>
      </w:pPr>
    </w:p>
    <w:p>
      <w:pPr>
        <w:spacing w:before="0" w:after="0" w:line="360" w:lineRule="auto"/>
        <w:jc w:val="both"/>
        <w:rPr>
          <w:rFonts w:eastAsia="宋体" w:cs="Times New Roman"/>
          <w:b/>
          <w:bCs/>
          <w:sz w:val="20"/>
          <w:szCs w:val="20"/>
          <w:lang w:eastAsia="zh-CN"/>
        </w:rPr>
      </w:pPr>
    </w:p>
    <w:p>
      <w:pPr>
        <w:spacing w:before="0" w:after="0" w:line="360" w:lineRule="auto"/>
        <w:jc w:val="both"/>
        <w:rPr>
          <w:rFonts w:eastAsia="宋体" w:cs="Times New Roman"/>
          <w:bCs/>
          <w:sz w:val="20"/>
          <w:szCs w:val="20"/>
          <w:lang w:eastAsia="zh-CN"/>
        </w:rPr>
      </w:pPr>
      <w:r>
        <w:rPr>
          <w:rFonts w:eastAsia="宋体" w:cs="Times New Roman"/>
          <w:b/>
          <w:bCs/>
          <w:sz w:val="20"/>
          <w:szCs w:val="20"/>
          <w:lang w:eastAsia="zh-CN"/>
        </w:rPr>
        <w:t xml:space="preserve">Table </w:t>
      </w:r>
      <w:r>
        <w:rPr>
          <w:rFonts w:hint="eastAsia" w:eastAsia="宋体" w:cs="Times New Roman"/>
          <w:b/>
          <w:bCs/>
          <w:sz w:val="20"/>
          <w:szCs w:val="20"/>
          <w:lang w:eastAsia="zh-CN"/>
        </w:rPr>
        <w:t>4.</w:t>
      </w:r>
      <w:r>
        <w:rPr>
          <w:rFonts w:eastAsia="宋体" w:cs="Times New Roman"/>
          <w:bCs/>
          <w:sz w:val="20"/>
          <w:szCs w:val="20"/>
          <w:lang w:eastAsia="zh-CN"/>
        </w:rPr>
        <w:t xml:space="preserve"> Journals with more than </w:t>
      </w:r>
      <w:r>
        <w:rPr>
          <w:rFonts w:hint="eastAsia" w:eastAsia="宋体" w:cs="Times New Roman"/>
          <w:bCs/>
          <w:sz w:val="20"/>
          <w:szCs w:val="20"/>
          <w:lang w:eastAsia="zh-CN"/>
        </w:rPr>
        <w:t>five</w:t>
      </w:r>
      <w:r>
        <w:rPr>
          <w:rFonts w:eastAsia="宋体" w:cs="Times New Roman"/>
          <w:bCs/>
          <w:sz w:val="20"/>
          <w:szCs w:val="20"/>
          <w:lang w:eastAsia="zh-CN"/>
        </w:rPr>
        <w:t xml:space="preserve"> articles were published. </w:t>
      </w:r>
    </w:p>
    <w:tbl>
      <w:tblPr>
        <w:tblStyle w:val="29"/>
        <w:tblW w:w="871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552"/>
        <w:gridCol w:w="1634"/>
        <w:gridCol w:w="1559"/>
        <w:gridCol w:w="219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7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25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Journal Name</w:t>
            </w:r>
          </w:p>
        </w:tc>
        <w:tc>
          <w:tcPr>
            <w:tcW w:w="16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No. of Articles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Citations</w:t>
            </w:r>
          </w:p>
        </w:tc>
        <w:tc>
          <w:tcPr>
            <w:tcW w:w="21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Journal Impact Factor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776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552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Hepatology</w:t>
            </w:r>
          </w:p>
        </w:tc>
        <w:tc>
          <w:tcPr>
            <w:tcW w:w="1634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1559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397</w:t>
            </w:r>
          </w:p>
        </w:tc>
        <w:tc>
          <w:tcPr>
            <w:tcW w:w="2193" w:type="dxa"/>
            <w:tcBorders>
              <w:top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17.425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7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552" w:type="dxa"/>
          </w:tcPr>
          <w:p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Journal of Hepatology</w:t>
            </w:r>
          </w:p>
        </w:tc>
        <w:tc>
          <w:tcPr>
            <w:tcW w:w="163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405</w:t>
            </w:r>
          </w:p>
        </w:tc>
        <w:tc>
          <w:tcPr>
            <w:tcW w:w="2193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25.083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7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552" w:type="dxa"/>
          </w:tcPr>
          <w:p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Gastroenterology</w:t>
            </w:r>
          </w:p>
        </w:tc>
        <w:tc>
          <w:tcPr>
            <w:tcW w:w="163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291</w:t>
            </w:r>
          </w:p>
        </w:tc>
        <w:tc>
          <w:tcPr>
            <w:tcW w:w="2193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22.682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7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552" w:type="dxa"/>
          </w:tcPr>
          <w:p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Journal of Autoimmunity</w:t>
            </w:r>
          </w:p>
        </w:tc>
        <w:tc>
          <w:tcPr>
            <w:tcW w:w="163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74</w:t>
            </w:r>
          </w:p>
        </w:tc>
        <w:tc>
          <w:tcPr>
            <w:tcW w:w="2193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7.094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7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552" w:type="dxa"/>
          </w:tcPr>
          <w:p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Gut</w:t>
            </w:r>
          </w:p>
        </w:tc>
        <w:tc>
          <w:tcPr>
            <w:tcW w:w="163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2193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23.059</w:t>
            </w:r>
          </w:p>
        </w:tc>
      </w:tr>
    </w:tbl>
    <w:p>
      <w:pPr>
        <w:spacing w:before="0" w:after="0" w:line="360" w:lineRule="auto"/>
        <w:jc w:val="both"/>
        <w:rPr>
          <w:rFonts w:eastAsia="宋体" w:cs="Times New Roman"/>
          <w:sz w:val="20"/>
          <w:szCs w:val="20"/>
          <w:lang w:eastAsia="zh-CN"/>
        </w:rPr>
      </w:pPr>
      <w:r>
        <w:rPr>
          <w:rFonts w:eastAsia="宋体" w:cs="Times New Roman"/>
          <w:sz w:val="20"/>
          <w:szCs w:val="20"/>
          <w:lang w:eastAsia="zh-CN"/>
        </w:rPr>
        <w:t>Journal impact factor based on Thomson Reuters Web of Knowledge Journal Citation Reports Ranking (2020).</w:t>
      </w:r>
    </w:p>
    <w:p>
      <w:pPr>
        <w:spacing w:before="0" w:after="0" w:line="360" w:lineRule="auto"/>
        <w:jc w:val="both"/>
        <w:rPr>
          <w:rFonts w:eastAsia="宋体" w:cs="Times New Roman"/>
          <w:sz w:val="20"/>
          <w:szCs w:val="20"/>
          <w:lang w:eastAsia="zh-CN"/>
        </w:rPr>
      </w:pPr>
    </w:p>
    <w:p>
      <w:pPr>
        <w:spacing w:before="0" w:after="0" w:line="360" w:lineRule="auto"/>
        <w:jc w:val="both"/>
        <w:rPr>
          <w:rFonts w:eastAsia="宋体" w:cs="Times New Roman"/>
          <w:color w:val="FF0000"/>
          <w:sz w:val="20"/>
          <w:szCs w:val="20"/>
          <w:lang w:eastAsia="zh-CN"/>
        </w:rPr>
      </w:pPr>
      <w:r>
        <w:rPr>
          <w:rFonts w:eastAsia="宋体" w:cs="Times New Roman"/>
          <w:b/>
          <w:bCs/>
          <w:sz w:val="20"/>
          <w:szCs w:val="20"/>
          <w:lang w:eastAsia="zh-CN"/>
        </w:rPr>
        <w:t xml:space="preserve">Table </w:t>
      </w:r>
      <w:r>
        <w:rPr>
          <w:rFonts w:hint="eastAsia" w:eastAsia="宋体" w:cs="Times New Roman"/>
          <w:b/>
          <w:bCs/>
          <w:sz w:val="20"/>
          <w:szCs w:val="20"/>
          <w:lang w:eastAsia="zh-CN"/>
        </w:rPr>
        <w:t>5</w:t>
      </w:r>
      <w:r>
        <w:rPr>
          <w:rFonts w:eastAsia="宋体" w:cs="Times New Roman"/>
          <w:b/>
          <w:bCs/>
          <w:sz w:val="20"/>
          <w:szCs w:val="20"/>
          <w:lang w:eastAsia="zh-CN"/>
        </w:rPr>
        <w:t xml:space="preserve">. </w:t>
      </w:r>
      <w:r>
        <w:rPr>
          <w:rFonts w:eastAsia="宋体" w:cs="Times New Roman"/>
          <w:sz w:val="20"/>
          <w:szCs w:val="20"/>
          <w:lang w:eastAsia="zh-CN"/>
        </w:rPr>
        <w:t>The top ten authors with the highest number of manuscripts in</w:t>
      </w:r>
      <w:r>
        <w:rPr>
          <w:rFonts w:hint="eastAsia" w:eastAsia="宋体" w:cs="Times New Roman"/>
          <w:sz w:val="20"/>
          <w:szCs w:val="20"/>
          <w:lang w:eastAsia="zh-CN"/>
        </w:rPr>
        <w:t xml:space="preserve"> the T100</w:t>
      </w:r>
      <w:r>
        <w:rPr>
          <w:rFonts w:eastAsia="宋体" w:cs="Times New Roman"/>
          <w:sz w:val="20"/>
          <w:szCs w:val="20"/>
          <w:lang w:eastAsia="zh-CN"/>
        </w:rPr>
        <w:t xml:space="preserve"> articles.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2026"/>
        <w:gridCol w:w="1559"/>
        <w:gridCol w:w="1944"/>
      </w:tblGrid>
      <w:tr>
        <w:trPr>
          <w:trHeight w:val="454" w:hRule="atLeast"/>
        </w:trPr>
        <w:tc>
          <w:tcPr>
            <w:tcW w:w="13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20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Author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No. of Articles</w:t>
            </w:r>
          </w:p>
        </w:tc>
        <w:tc>
          <w:tcPr>
            <w:tcW w:w="194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Citations</w:t>
            </w:r>
          </w:p>
        </w:tc>
      </w:tr>
      <w:tr>
        <w:trPr>
          <w:trHeight w:val="454" w:hRule="atLeast"/>
        </w:trPr>
        <w:tc>
          <w:tcPr>
            <w:tcW w:w="1343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026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Gershwin ME</w:t>
            </w:r>
          </w:p>
        </w:tc>
        <w:tc>
          <w:tcPr>
            <w:tcW w:w="1559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1944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4007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Hirschfield GM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921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Invernizzi P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563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Lleo A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740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Coppel RL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262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Poupon R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287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Ansari AA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078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Tsuneyama K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53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Beuers U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578</w:t>
            </w:r>
          </w:p>
        </w:tc>
      </w:tr>
      <w:tr>
        <w:trPr>
          <w:trHeight w:val="454" w:hRule="atLeast"/>
        </w:trPr>
        <w:tc>
          <w:tcPr>
            <w:tcW w:w="1343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2026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Pares A</w:t>
            </w:r>
          </w:p>
        </w:tc>
        <w:tc>
          <w:tcPr>
            <w:tcW w:w="1559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944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sz w:val="20"/>
                <w:szCs w:val="20"/>
                <w:lang w:eastAsia="zh-CN"/>
              </w:rPr>
              <w:t>136</w:t>
            </w:r>
          </w:p>
        </w:tc>
      </w:tr>
    </w:tbl>
    <w:p>
      <w:pPr>
        <w:spacing w:line="360" w:lineRule="auto"/>
        <w:rPr>
          <w:b/>
          <w:bCs/>
          <w:sz w:val="20"/>
          <w:szCs w:val="20"/>
          <w:lang w:eastAsia="zh-CN"/>
        </w:rPr>
      </w:pPr>
    </w:p>
    <w:p>
      <w:pPr>
        <w:spacing w:line="360" w:lineRule="auto"/>
        <w:contextualSpacing/>
        <w:rPr>
          <w:rFonts w:eastAsia="宋体" w:cs="Times New Roman"/>
          <w:bCs/>
          <w:sz w:val="21"/>
          <w:szCs w:val="21"/>
          <w:lang w:eastAsia="zh-CN"/>
        </w:rPr>
      </w:pPr>
      <w:r>
        <w:rPr>
          <w:rFonts w:eastAsia="宋体" w:cs="Times New Roman"/>
          <w:b/>
          <w:bCs/>
          <w:sz w:val="21"/>
          <w:szCs w:val="21"/>
          <w:lang w:eastAsia="zh-CN"/>
        </w:rPr>
        <w:t xml:space="preserve">Table </w:t>
      </w:r>
      <w:r>
        <w:rPr>
          <w:rFonts w:hint="eastAsia" w:eastAsia="宋体" w:cs="Times New Roman"/>
          <w:b/>
          <w:bCs/>
          <w:sz w:val="21"/>
          <w:szCs w:val="21"/>
          <w:lang w:eastAsia="zh-CN"/>
        </w:rPr>
        <w:t>6.</w:t>
      </w:r>
      <w:r>
        <w:rPr>
          <w:rFonts w:eastAsia="宋体" w:cs="Times New Roman"/>
          <w:b/>
          <w:bCs/>
          <w:sz w:val="21"/>
          <w:szCs w:val="21"/>
          <w:lang w:eastAsia="zh-CN"/>
        </w:rPr>
        <w:t xml:space="preserve"> </w:t>
      </w:r>
      <w:r>
        <w:rPr>
          <w:rFonts w:eastAsia="宋体" w:cs="Times New Roman"/>
          <w:bCs/>
          <w:sz w:val="21"/>
          <w:szCs w:val="21"/>
          <w:lang w:eastAsia="zh-CN"/>
        </w:rPr>
        <w:t>The top ten keywords ranked by the citation number of articles.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943"/>
        <w:gridCol w:w="1276"/>
        <w:gridCol w:w="17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29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Keyword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Count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Centrality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943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Biochemical response</w:t>
            </w:r>
          </w:p>
        </w:tc>
        <w:tc>
          <w:tcPr>
            <w:tcW w:w="1276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Ursodeoxycholic acid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Primary biliary cirrhosis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Disease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Antimitochondrial antibody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Autoimmunity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Cholestasis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Prognosis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Systemic lupus erythematosus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1134" w:type="dxa"/>
            <w:vAlign w:val="center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bCs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2943" w:type="dxa"/>
          </w:tcPr>
          <w:p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Liver disease</w:t>
            </w:r>
          </w:p>
        </w:tc>
        <w:tc>
          <w:tcPr>
            <w:tcW w:w="1276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701" w:type="dxa"/>
          </w:tcPr>
          <w:p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/>
              </w:rPr>
              <w:t>0.12</w:t>
            </w:r>
          </w:p>
        </w:tc>
      </w:tr>
    </w:tbl>
    <w:p>
      <w:pPr>
        <w:spacing w:line="360" w:lineRule="auto"/>
        <w:rPr>
          <w:b/>
          <w:bCs/>
          <w:sz w:val="20"/>
          <w:szCs w:val="20"/>
          <w:lang w:eastAsia="zh-CN"/>
        </w:rPr>
      </w:pPr>
    </w:p>
    <w:sectPr>
      <w:footerReference r:id="rId3" w:type="default"/>
      <w:footerReference r:id="rId4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434.15pt;margin-top:735.1pt;height:31.15pt;width:118.8pt;mso-position-horizontal-relative:page;mso-position-vertical-relative:page;z-index:251646976;mso-width-relative:page;mso-height-relative:page;" filled="f" stroked="f" coordsize="21600,21600" o:gfxdata="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FgAAAGRycy9QSwECFAAUAAAACACHTuJA&#10;TFdEItIAAAAEAQAADwAAAAAAAAABACAAAAA4AAAAZHJzL2Rvd25yZXYueG1sUEsBAhQAFAAAAAgA&#10;h07iQFy56YYVAgAAJwQAAA4AAAAAAAAAAQAgAAAAN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13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434.15pt;margin-top:735.1pt;height:31.15pt;width:118.8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FgAAAGRycy9QSwECFAAUAAAACACHTuJA&#10;TFdEItIAAAAEAQAADwAAAAAAAAABACAAAAA4AAAAZHJzL2Rvd25yZXYueG1sUEsBAhQAFAAAAAgA&#10;h07iQJJ3p+cVAgAAJQQAAA4AAAAAAAAAAQAgAAAAN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12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 w:val="1"/>
  <w:bordersDoNotSurroundFooter w:val="1"/>
  <w:attachedTemplate r:id="rId1"/>
  <w:documentProtection w:enforcement="0"/>
  <w:defaultTabStop w:val="720"/>
  <w:evenAndOddHeaders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M0MzAxNjSzNDI0NDBW0lEKTi0uzszPAykwrgUAxA3BSCwAAAA="/>
  </w:docVars>
  <w:rsids>
    <w:rsidRoot w:val="00ED20B5"/>
    <w:rsid w:val="0001436A"/>
    <w:rsid w:val="00034304"/>
    <w:rsid w:val="00035434"/>
    <w:rsid w:val="00052A14"/>
    <w:rsid w:val="00077D53"/>
    <w:rsid w:val="000B2C19"/>
    <w:rsid w:val="000B6F7D"/>
    <w:rsid w:val="000D02CB"/>
    <w:rsid w:val="00105FD9"/>
    <w:rsid w:val="00117666"/>
    <w:rsid w:val="001437A5"/>
    <w:rsid w:val="00151511"/>
    <w:rsid w:val="001549D3"/>
    <w:rsid w:val="00160065"/>
    <w:rsid w:val="00177D84"/>
    <w:rsid w:val="00267D18"/>
    <w:rsid w:val="00272390"/>
    <w:rsid w:val="00274347"/>
    <w:rsid w:val="00281C22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365A3"/>
    <w:rsid w:val="00447801"/>
    <w:rsid w:val="00452E9C"/>
    <w:rsid w:val="004735C8"/>
    <w:rsid w:val="0048425A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16BF"/>
    <w:rsid w:val="006820B1"/>
    <w:rsid w:val="006B7D14"/>
    <w:rsid w:val="00701727"/>
    <w:rsid w:val="0070566C"/>
    <w:rsid w:val="00714C50"/>
    <w:rsid w:val="00725A7D"/>
    <w:rsid w:val="007428CE"/>
    <w:rsid w:val="007469D6"/>
    <w:rsid w:val="007501BE"/>
    <w:rsid w:val="00751B16"/>
    <w:rsid w:val="00790BB3"/>
    <w:rsid w:val="007C206C"/>
    <w:rsid w:val="007F6675"/>
    <w:rsid w:val="00817DD6"/>
    <w:rsid w:val="0083759F"/>
    <w:rsid w:val="00881520"/>
    <w:rsid w:val="00885156"/>
    <w:rsid w:val="008A133F"/>
    <w:rsid w:val="009151AA"/>
    <w:rsid w:val="0093429D"/>
    <w:rsid w:val="00941424"/>
    <w:rsid w:val="00943573"/>
    <w:rsid w:val="00964134"/>
    <w:rsid w:val="00970F7D"/>
    <w:rsid w:val="00994A3D"/>
    <w:rsid w:val="009C2B12"/>
    <w:rsid w:val="00A174D9"/>
    <w:rsid w:val="00A42D92"/>
    <w:rsid w:val="00AA4D24"/>
    <w:rsid w:val="00AB6715"/>
    <w:rsid w:val="00B06BC0"/>
    <w:rsid w:val="00B1671E"/>
    <w:rsid w:val="00B25EB8"/>
    <w:rsid w:val="00B37F4D"/>
    <w:rsid w:val="00B82412"/>
    <w:rsid w:val="00BC04FB"/>
    <w:rsid w:val="00C52A7B"/>
    <w:rsid w:val="00C56BAF"/>
    <w:rsid w:val="00C679AA"/>
    <w:rsid w:val="00C75972"/>
    <w:rsid w:val="00CD066B"/>
    <w:rsid w:val="00CE4FEE"/>
    <w:rsid w:val="00D060CF"/>
    <w:rsid w:val="00D12F11"/>
    <w:rsid w:val="00DB59C3"/>
    <w:rsid w:val="00DC259A"/>
    <w:rsid w:val="00DC7D65"/>
    <w:rsid w:val="00DE23E8"/>
    <w:rsid w:val="00E52377"/>
    <w:rsid w:val="00E537AD"/>
    <w:rsid w:val="00E64E17"/>
    <w:rsid w:val="00E80245"/>
    <w:rsid w:val="00E866C9"/>
    <w:rsid w:val="00EA3D3C"/>
    <w:rsid w:val="00EC090A"/>
    <w:rsid w:val="00ED20B5"/>
    <w:rsid w:val="00F46900"/>
    <w:rsid w:val="00F61D89"/>
    <w:rsid w:val="2AF36B8D"/>
    <w:rsid w:val="3FCB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0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List Paragraph"/>
    <w:basedOn w:val="1"/>
    <w:qFormat/>
    <w:uiPriority w:val="99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annotation subject"/>
    <w:basedOn w:val="9"/>
    <w:next w:val="9"/>
    <w:link w:val="38"/>
    <w:unhideWhenUsed/>
    <w:uiPriority w:val="99"/>
    <w:rPr>
      <w:b/>
      <w:bCs/>
    </w:rPr>
  </w:style>
  <w:style w:type="paragraph" w:styleId="9">
    <w:name w:val="annotation text"/>
    <w:basedOn w:val="1"/>
    <w:link w:val="37"/>
    <w:unhideWhenUsed/>
    <w:uiPriority w:val="99"/>
    <w:rPr>
      <w:sz w:val="20"/>
      <w:szCs w:val="20"/>
    </w:rPr>
  </w:style>
  <w:style w:type="paragraph" w:styleId="10">
    <w:name w:val="caption"/>
    <w:basedOn w:val="1"/>
    <w:next w:val="11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customStyle="1" w:styleId="11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12">
    <w:name w:val="endnote text"/>
    <w:basedOn w:val="1"/>
    <w:link w:val="39"/>
    <w:unhideWhenUsed/>
    <w:uiPriority w:val="99"/>
    <w:pPr>
      <w:spacing w:after="0"/>
    </w:pPr>
    <w:rPr>
      <w:sz w:val="20"/>
      <w:szCs w:val="20"/>
    </w:rPr>
  </w:style>
  <w:style w:type="paragraph" w:styleId="13">
    <w:name w:val="Balloon Text"/>
    <w:basedOn w:val="1"/>
    <w:link w:val="35"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4">
    <w:name w:val="footer"/>
    <w:basedOn w:val="1"/>
    <w:link w:val="40"/>
    <w:unhideWhenUsed/>
    <w:uiPriority w:val="99"/>
    <w:pPr>
      <w:tabs>
        <w:tab w:val="center" w:pos="4844"/>
        <w:tab w:val="right" w:pos="9689"/>
      </w:tabs>
      <w:spacing w:after="0"/>
    </w:pPr>
  </w:style>
  <w:style w:type="paragraph" w:styleId="15">
    <w:name w:val="header"/>
    <w:basedOn w:val="1"/>
    <w:link w:val="42"/>
    <w:unhideWhenUsed/>
    <w:uiPriority w:val="99"/>
    <w:pPr>
      <w:tabs>
        <w:tab w:val="center" w:pos="4844"/>
        <w:tab w:val="right" w:pos="9689"/>
      </w:tabs>
    </w:pPr>
    <w:rPr>
      <w:b/>
    </w:rPr>
  </w:style>
  <w:style w:type="paragraph" w:styleId="16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7">
    <w:name w:val="footnote text"/>
    <w:basedOn w:val="1"/>
    <w:link w:val="41"/>
    <w:unhideWhenUsed/>
    <w:uiPriority w:val="99"/>
    <w:pPr>
      <w:spacing w:after="0"/>
    </w:pPr>
    <w:rPr>
      <w:sz w:val="20"/>
      <w:szCs w:val="20"/>
    </w:rPr>
  </w:style>
  <w:style w:type="paragraph" w:styleId="18">
    <w:name w:val="Normal (Web)"/>
    <w:basedOn w:val="1"/>
    <w:unhideWhenUsed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9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styleId="21">
    <w:name w:val="Strong"/>
    <w:basedOn w:val="20"/>
    <w:qFormat/>
    <w:uiPriority w:val="22"/>
    <w:rPr>
      <w:rFonts w:ascii="Times New Roman" w:hAnsi="Times New Roman"/>
      <w:b/>
      <w:bCs/>
    </w:rPr>
  </w:style>
  <w:style w:type="character" w:styleId="22">
    <w:name w:val="endnote reference"/>
    <w:basedOn w:val="20"/>
    <w:unhideWhenUsed/>
    <w:uiPriority w:val="99"/>
    <w:rPr>
      <w:vertAlign w:val="superscript"/>
    </w:rPr>
  </w:style>
  <w:style w:type="character" w:styleId="23">
    <w:name w:val="FollowedHyperlink"/>
    <w:basedOn w:val="20"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4">
    <w:name w:val="Emphasis"/>
    <w:basedOn w:val="20"/>
    <w:qFormat/>
    <w:uiPriority w:val="20"/>
    <w:rPr>
      <w:rFonts w:ascii="Times New Roman" w:hAnsi="Times New Roman"/>
      <w:i/>
      <w:iCs/>
    </w:rPr>
  </w:style>
  <w:style w:type="character" w:styleId="25">
    <w:name w:val="line number"/>
    <w:basedOn w:val="20"/>
    <w:unhideWhenUsed/>
    <w:uiPriority w:val="99"/>
  </w:style>
  <w:style w:type="character" w:styleId="26">
    <w:name w:val="Hyperlink"/>
    <w:basedOn w:val="20"/>
    <w:unhideWhenUsed/>
    <w:uiPriority w:val="99"/>
    <w:rPr>
      <w:color w:val="0000FF"/>
      <w:u w:val="single"/>
    </w:rPr>
  </w:style>
  <w:style w:type="character" w:styleId="27">
    <w:name w:val="annotation reference"/>
    <w:basedOn w:val="20"/>
    <w:unhideWhenUsed/>
    <w:uiPriority w:val="99"/>
    <w:rPr>
      <w:sz w:val="16"/>
      <w:szCs w:val="16"/>
    </w:rPr>
  </w:style>
  <w:style w:type="character" w:styleId="28">
    <w:name w:val="footnote reference"/>
    <w:basedOn w:val="20"/>
    <w:unhideWhenUsed/>
    <w:uiPriority w:val="99"/>
    <w:rPr>
      <w:vertAlign w:val="superscript"/>
    </w:rPr>
  </w:style>
  <w:style w:type="table" w:styleId="30">
    <w:name w:val="Table Grid"/>
    <w:basedOn w:val="29"/>
    <w:qFormat/>
    <w:uiPriority w:val="0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标题 1 Char"/>
    <w:basedOn w:val="20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标题 2 Char"/>
    <w:basedOn w:val="20"/>
    <w:link w:val="4"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副标题 Char"/>
    <w:basedOn w:val="20"/>
    <w:link w:val="16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6"/>
    <w:next w:val="1"/>
    <w:qFormat/>
    <w:uiPriority w:val="1"/>
  </w:style>
  <w:style w:type="character" w:customStyle="1" w:styleId="35">
    <w:name w:val="批注框文本 Char"/>
    <w:basedOn w:val="20"/>
    <w:link w:val="13"/>
    <w:semiHidden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0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批注文字 Char"/>
    <w:basedOn w:val="20"/>
    <w:link w:val="9"/>
    <w:semiHidden/>
    <w:uiPriority w:val="99"/>
    <w:rPr>
      <w:rFonts w:ascii="Times New Roman" w:hAnsi="Times New Roman"/>
      <w:sz w:val="20"/>
      <w:szCs w:val="20"/>
    </w:rPr>
  </w:style>
  <w:style w:type="character" w:customStyle="1" w:styleId="38">
    <w:name w:val="批注主题 Char"/>
    <w:basedOn w:val="37"/>
    <w:link w:val="8"/>
    <w:semiHidden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尾注文本 Char"/>
    <w:basedOn w:val="20"/>
    <w:link w:val="12"/>
    <w:semiHidden/>
    <w:uiPriority w:val="99"/>
    <w:rPr>
      <w:rFonts w:ascii="Times New Roman" w:hAnsi="Times New Roman"/>
      <w:sz w:val="20"/>
      <w:szCs w:val="20"/>
    </w:rPr>
  </w:style>
  <w:style w:type="character" w:customStyle="1" w:styleId="40">
    <w:name w:val="页脚 Char"/>
    <w:basedOn w:val="20"/>
    <w:link w:val="14"/>
    <w:uiPriority w:val="99"/>
    <w:rPr>
      <w:rFonts w:ascii="Times New Roman" w:hAnsi="Times New Roman"/>
      <w:sz w:val="24"/>
    </w:rPr>
  </w:style>
  <w:style w:type="character" w:customStyle="1" w:styleId="41">
    <w:name w:val="脚注文本 Char"/>
    <w:basedOn w:val="20"/>
    <w:link w:val="17"/>
    <w:semiHidden/>
    <w:uiPriority w:val="99"/>
    <w:rPr>
      <w:rFonts w:ascii="Times New Roman" w:hAnsi="Times New Roman"/>
      <w:sz w:val="20"/>
      <w:szCs w:val="20"/>
    </w:rPr>
  </w:style>
  <w:style w:type="character" w:customStyle="1" w:styleId="42">
    <w:name w:val="页眉 Char"/>
    <w:basedOn w:val="20"/>
    <w:link w:val="15"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0"/>
    <w:unhideWhenUsed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0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标题 3 Char"/>
    <w:basedOn w:val="20"/>
    <w:link w:val="5"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标题 4 Char"/>
    <w:basedOn w:val="20"/>
    <w:link w:val="6"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标题 5 Char"/>
    <w:basedOn w:val="20"/>
    <w:link w:val="7"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customStyle="1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引用 Char"/>
    <w:basedOn w:val="20"/>
    <w:link w:val="48"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0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标题 Char"/>
    <w:basedOn w:val="20"/>
    <w:link w:val="19"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9"/>
    <w:next w:val="19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y/Library/Containers/com.kingsoft.wpsoffice.mac/Data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Pages>13</Pages>
  <Words>2448</Words>
  <Characters>13958</Characters>
  <Lines>116</Lines>
  <Paragraphs>32</Paragraphs>
  <TotalTime>0</TotalTime>
  <ScaleCrop>false</ScaleCrop>
  <LinksUpToDate>false</LinksUpToDate>
  <CharactersWithSpaces>16374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2018-11-23T16:58:00Z</dcterms:created>
  <dc:creator>Frontiers Media SA</dc:creator>
  <cp:lastModifiedBy>zy</cp:lastModifiedBy>
  <cp:lastPrinted>2013-10-03T20:51:00Z</cp:lastPrinted>
  <dcterms:modified xsi:type="dcterms:W3CDTF">2022-02-12T11:59:13Z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