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27EEE6" w14:textId="77777777" w:rsidR="00654E8F" w:rsidRPr="001549D3" w:rsidRDefault="00654E8F" w:rsidP="004365A3">
      <w:pPr>
        <w:pStyle w:val="SupplementaryMaterial"/>
        <w:rPr>
          <w:lang w:eastAsia="zh-CN"/>
        </w:rPr>
      </w:pPr>
      <w:r w:rsidRPr="001549D3">
        <w:t>Supplementary Material</w:t>
      </w:r>
    </w:p>
    <w:p w14:paraId="68CFCD8A" w14:textId="77777777" w:rsidR="00881520" w:rsidRDefault="00881520" w:rsidP="00E80245">
      <w:pPr>
        <w:spacing w:line="480" w:lineRule="auto"/>
        <w:rPr>
          <w:b/>
          <w:sz w:val="20"/>
          <w:szCs w:val="20"/>
          <w:lang w:eastAsia="zh-CN"/>
        </w:rPr>
      </w:pPr>
    </w:p>
    <w:p w14:paraId="46106604" w14:textId="066F331A" w:rsidR="00E80245" w:rsidRPr="006D2C27" w:rsidRDefault="00E80245" w:rsidP="00151511">
      <w:pPr>
        <w:spacing w:line="480" w:lineRule="auto"/>
        <w:contextualSpacing/>
        <w:rPr>
          <w:sz w:val="20"/>
          <w:szCs w:val="20"/>
        </w:rPr>
      </w:pPr>
      <w:r w:rsidRPr="00C94DAC">
        <w:rPr>
          <w:b/>
          <w:sz w:val="20"/>
          <w:szCs w:val="20"/>
        </w:rPr>
        <w:t xml:space="preserve">Table </w:t>
      </w:r>
      <w:r w:rsidRPr="00C94DAC">
        <w:rPr>
          <w:rFonts w:hint="eastAsia"/>
          <w:b/>
          <w:sz w:val="20"/>
          <w:szCs w:val="20"/>
        </w:rPr>
        <w:t>1</w:t>
      </w:r>
      <w:r w:rsidR="00151511">
        <w:rPr>
          <w:rFonts w:hint="eastAsia"/>
          <w:b/>
          <w:sz w:val="20"/>
          <w:szCs w:val="20"/>
          <w:lang w:eastAsia="zh-CN"/>
        </w:rPr>
        <w:t>.</w:t>
      </w:r>
      <w:r w:rsidRPr="006D2C27">
        <w:rPr>
          <w:sz w:val="20"/>
          <w:szCs w:val="20"/>
        </w:rPr>
        <w:t xml:space="preserve"> List of the top </w:t>
      </w:r>
      <w:r w:rsidR="00151511">
        <w:rPr>
          <w:rFonts w:hint="eastAsia"/>
          <w:sz w:val="20"/>
          <w:szCs w:val="20"/>
          <w:lang w:eastAsia="zh-CN"/>
        </w:rPr>
        <w:t>10</w:t>
      </w:r>
      <w:r w:rsidRPr="006D2C27">
        <w:rPr>
          <w:sz w:val="20"/>
          <w:szCs w:val="20"/>
        </w:rPr>
        <w:t xml:space="preserve">0 most cited articles on </w:t>
      </w:r>
      <w:r w:rsidR="00151511">
        <w:rPr>
          <w:rFonts w:hint="eastAsia"/>
          <w:sz w:val="20"/>
          <w:szCs w:val="20"/>
          <w:lang w:eastAsia="zh-CN"/>
        </w:rPr>
        <w:t>PBC</w:t>
      </w:r>
      <w:r w:rsidRPr="006D2C27">
        <w:rPr>
          <w:sz w:val="20"/>
          <w:szCs w:val="20"/>
        </w:rPr>
        <w:t>.</w:t>
      </w:r>
    </w:p>
    <w:tbl>
      <w:tblPr>
        <w:tblW w:w="9039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4"/>
        <w:gridCol w:w="3233"/>
        <w:gridCol w:w="1276"/>
        <w:gridCol w:w="1276"/>
        <w:gridCol w:w="1417"/>
        <w:gridCol w:w="993"/>
      </w:tblGrid>
      <w:tr w:rsidR="00151511" w:rsidRPr="00151511" w14:paraId="30527E50" w14:textId="77777777" w:rsidTr="00151511">
        <w:trPr>
          <w:trHeight w:val="680"/>
        </w:trPr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82CAE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Rank</w:t>
            </w:r>
          </w:p>
        </w:tc>
        <w:tc>
          <w:tcPr>
            <w:tcW w:w="32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FFA4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2671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DengXian" w:cs="Times New Roman"/>
                <w:sz w:val="20"/>
                <w:szCs w:val="20"/>
              </w:rPr>
              <w:t>Year of Publication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AA92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DengXian" w:cs="Times New Roman" w:hint="eastAsia"/>
                <w:sz w:val="20"/>
                <w:szCs w:val="20"/>
                <w:lang w:eastAsia="zh-CN"/>
              </w:rPr>
              <w:t xml:space="preserve">First </w:t>
            </w:r>
            <w:r w:rsidRPr="00151511">
              <w:rPr>
                <w:rFonts w:eastAsia="DengXian" w:cs="Times New Roman"/>
                <w:sz w:val="20"/>
                <w:szCs w:val="20"/>
              </w:rPr>
              <w:t>Author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97893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Journal of Publication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8EE1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Total Citations</w:t>
            </w:r>
          </w:p>
        </w:tc>
      </w:tr>
      <w:tr w:rsidR="00151511" w:rsidRPr="00151511" w14:paraId="4E8E9D88" w14:textId="77777777" w:rsidTr="00151511">
        <w:trPr>
          <w:trHeight w:val="966"/>
        </w:trPr>
        <w:tc>
          <w:tcPr>
            <w:tcW w:w="844" w:type="dxa"/>
            <w:tcBorders>
              <w:top w:val="single" w:sz="4" w:space="0" w:color="auto"/>
            </w:tcBorders>
            <w:vAlign w:val="center"/>
          </w:tcPr>
          <w:p w14:paraId="67C47F1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33" w:type="dxa"/>
            <w:tcBorders>
              <w:top w:val="single" w:sz="4" w:space="0" w:color="auto"/>
            </w:tcBorders>
            <w:vAlign w:val="center"/>
          </w:tcPr>
          <w:p w14:paraId="784C0F0F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Primary Biliary Cirrhosis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8EAA8C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D59137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Lindor, KD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D4D634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CE73FF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900</w:t>
            </w:r>
          </w:p>
        </w:tc>
      </w:tr>
      <w:tr w:rsidR="00151511" w:rsidRPr="00151511" w14:paraId="1F02020D" w14:textId="77777777" w:rsidTr="00151511">
        <w:trPr>
          <w:trHeight w:val="1429"/>
        </w:trPr>
        <w:tc>
          <w:tcPr>
            <w:tcW w:w="844" w:type="dxa"/>
            <w:vAlign w:val="center"/>
          </w:tcPr>
          <w:p w14:paraId="503E555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233" w:type="dxa"/>
            <w:vAlign w:val="center"/>
          </w:tcPr>
          <w:p w14:paraId="025C5914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 Placebo-Controlled Trial of Obeticholic Acid in Primary Biliary Cholangitis</w:t>
            </w:r>
          </w:p>
        </w:tc>
        <w:tc>
          <w:tcPr>
            <w:tcW w:w="1276" w:type="dxa"/>
            <w:vAlign w:val="center"/>
          </w:tcPr>
          <w:p w14:paraId="2BD1F46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 w14:paraId="309A371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Nevens, F</w:t>
            </w:r>
          </w:p>
        </w:tc>
        <w:tc>
          <w:tcPr>
            <w:tcW w:w="1417" w:type="dxa"/>
            <w:vAlign w:val="center"/>
          </w:tcPr>
          <w:p w14:paraId="273F464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New Engl J Med</w:t>
            </w:r>
          </w:p>
        </w:tc>
        <w:tc>
          <w:tcPr>
            <w:tcW w:w="993" w:type="dxa"/>
            <w:vAlign w:val="center"/>
          </w:tcPr>
          <w:p w14:paraId="4177764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452</w:t>
            </w:r>
          </w:p>
        </w:tc>
      </w:tr>
      <w:tr w:rsidR="00151511" w:rsidRPr="00151511" w14:paraId="4D9F3E1C" w14:textId="77777777" w:rsidTr="00151511">
        <w:trPr>
          <w:trHeight w:val="1266"/>
        </w:trPr>
        <w:tc>
          <w:tcPr>
            <w:tcW w:w="844" w:type="dxa"/>
            <w:vAlign w:val="center"/>
          </w:tcPr>
          <w:p w14:paraId="2B15684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33" w:type="dxa"/>
            <w:vAlign w:val="center"/>
          </w:tcPr>
          <w:p w14:paraId="6F4EC83B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Primary Biliary Cirrhosis Associated with HLA, IL12A, and IL12RB2 Variants</w:t>
            </w:r>
          </w:p>
        </w:tc>
        <w:tc>
          <w:tcPr>
            <w:tcW w:w="1276" w:type="dxa"/>
            <w:vAlign w:val="center"/>
          </w:tcPr>
          <w:p w14:paraId="3C64681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72FACA9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 w14:paraId="1A3A190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New Engl J Med</w:t>
            </w:r>
          </w:p>
        </w:tc>
        <w:tc>
          <w:tcPr>
            <w:tcW w:w="993" w:type="dxa"/>
            <w:vAlign w:val="center"/>
          </w:tcPr>
          <w:p w14:paraId="41E01C0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450</w:t>
            </w:r>
          </w:p>
        </w:tc>
      </w:tr>
      <w:tr w:rsidR="00151511" w:rsidRPr="00151511" w14:paraId="58454A4B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711E99A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233" w:type="dxa"/>
            <w:vAlign w:val="center"/>
          </w:tcPr>
          <w:p w14:paraId="3DF98192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EASL Clinical Practice Guidelines: The diagnosis and management of patients with primary biliary cholangitis</w:t>
            </w:r>
          </w:p>
        </w:tc>
        <w:tc>
          <w:tcPr>
            <w:tcW w:w="1276" w:type="dxa"/>
            <w:vAlign w:val="center"/>
          </w:tcPr>
          <w:p w14:paraId="27EC991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2017</w:t>
            </w:r>
          </w:p>
        </w:tc>
        <w:tc>
          <w:tcPr>
            <w:tcW w:w="1276" w:type="dxa"/>
            <w:vAlign w:val="center"/>
          </w:tcPr>
          <w:p w14:paraId="3AB9625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 w14:paraId="74FE87C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 w14:paraId="63ABFE3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338</w:t>
            </w:r>
          </w:p>
        </w:tc>
      </w:tr>
      <w:tr w:rsidR="00151511" w:rsidRPr="00151511" w14:paraId="1F605651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753FFAC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33" w:type="dxa"/>
            <w:vAlign w:val="center"/>
          </w:tcPr>
          <w:p w14:paraId="3285AFB1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Epidemiology of primary sclerosing cholangitis and primary biliary cirrhosis: A systematic review</w:t>
            </w:r>
          </w:p>
        </w:tc>
        <w:tc>
          <w:tcPr>
            <w:tcW w:w="1276" w:type="dxa"/>
            <w:vAlign w:val="center"/>
          </w:tcPr>
          <w:p w14:paraId="4DB1E0B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3C065D9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Boonstra, K</w:t>
            </w:r>
          </w:p>
        </w:tc>
        <w:tc>
          <w:tcPr>
            <w:tcW w:w="1417" w:type="dxa"/>
            <w:vAlign w:val="center"/>
          </w:tcPr>
          <w:p w14:paraId="5B40470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 w14:paraId="4BF2096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333</w:t>
            </w:r>
          </w:p>
        </w:tc>
      </w:tr>
      <w:tr w:rsidR="00151511" w:rsidRPr="00151511" w14:paraId="7A2ABF81" w14:textId="77777777" w:rsidTr="00151511">
        <w:trPr>
          <w:trHeight w:val="1595"/>
        </w:trPr>
        <w:tc>
          <w:tcPr>
            <w:tcW w:w="844" w:type="dxa"/>
            <w:vAlign w:val="center"/>
          </w:tcPr>
          <w:p w14:paraId="4DDC325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233" w:type="dxa"/>
            <w:vAlign w:val="center"/>
          </w:tcPr>
          <w:p w14:paraId="138460C5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Efficacy of Obeticholic Acid in Patients With Primary Biliary Cirrhosis and Inadequate Response to Ursodeoxycholic Acid</w:t>
            </w:r>
          </w:p>
        </w:tc>
        <w:tc>
          <w:tcPr>
            <w:tcW w:w="1276" w:type="dxa"/>
            <w:vAlign w:val="center"/>
          </w:tcPr>
          <w:p w14:paraId="5881104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 w14:paraId="6A5A3BC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 w14:paraId="22B4F04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 w14:paraId="1273A91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316</w:t>
            </w:r>
          </w:p>
        </w:tc>
      </w:tr>
      <w:tr w:rsidR="00151511" w:rsidRPr="00151511" w14:paraId="5E7DD59E" w14:textId="77777777" w:rsidTr="00C61EAC">
        <w:trPr>
          <w:trHeight w:val="1685"/>
        </w:trPr>
        <w:tc>
          <w:tcPr>
            <w:tcW w:w="844" w:type="dxa"/>
            <w:vAlign w:val="center"/>
          </w:tcPr>
          <w:p w14:paraId="5501A42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233" w:type="dxa"/>
            <w:vAlign w:val="center"/>
          </w:tcPr>
          <w:p w14:paraId="3B029853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Genome-wide meta-analyses identify three loci associated with primary biliary cirrhosis</w:t>
            </w:r>
          </w:p>
        </w:tc>
        <w:tc>
          <w:tcPr>
            <w:tcW w:w="1276" w:type="dxa"/>
            <w:vAlign w:val="center"/>
          </w:tcPr>
          <w:p w14:paraId="6D9A782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5A012FE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Liu, XD</w:t>
            </w:r>
          </w:p>
        </w:tc>
        <w:tc>
          <w:tcPr>
            <w:tcW w:w="1417" w:type="dxa"/>
            <w:vAlign w:val="center"/>
          </w:tcPr>
          <w:p w14:paraId="7A96F3B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Nat Genet</w:t>
            </w:r>
          </w:p>
        </w:tc>
        <w:tc>
          <w:tcPr>
            <w:tcW w:w="993" w:type="dxa"/>
            <w:vAlign w:val="center"/>
          </w:tcPr>
          <w:p w14:paraId="0C100AD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295</w:t>
            </w:r>
          </w:p>
        </w:tc>
      </w:tr>
      <w:tr w:rsidR="00151511" w:rsidRPr="00151511" w14:paraId="5B6C06F9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1C78E89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8</w:t>
            </w:r>
          </w:p>
        </w:tc>
        <w:tc>
          <w:tcPr>
            <w:tcW w:w="3233" w:type="dxa"/>
            <w:vAlign w:val="center"/>
          </w:tcPr>
          <w:p w14:paraId="65809D2F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Improved Prognosis of Patients With Primary Biliary Cirrhosis That Have a Biochemical Response to Ursodeoxycholic Acid</w:t>
            </w:r>
          </w:p>
        </w:tc>
        <w:tc>
          <w:tcPr>
            <w:tcW w:w="1276" w:type="dxa"/>
            <w:vAlign w:val="center"/>
          </w:tcPr>
          <w:p w14:paraId="121AFF3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30BDFDC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Kuiper, EMM</w:t>
            </w:r>
          </w:p>
        </w:tc>
        <w:tc>
          <w:tcPr>
            <w:tcW w:w="1417" w:type="dxa"/>
            <w:vAlign w:val="center"/>
          </w:tcPr>
          <w:p w14:paraId="03BEA85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 w14:paraId="444D100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279</w:t>
            </w:r>
          </w:p>
        </w:tc>
      </w:tr>
      <w:tr w:rsidR="00151511" w:rsidRPr="00151511" w14:paraId="661764A9" w14:textId="77777777" w:rsidTr="00C61EAC">
        <w:trPr>
          <w:trHeight w:val="808"/>
        </w:trPr>
        <w:tc>
          <w:tcPr>
            <w:tcW w:w="844" w:type="dxa"/>
            <w:vAlign w:val="center"/>
          </w:tcPr>
          <w:p w14:paraId="5A546E0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233" w:type="dxa"/>
            <w:vAlign w:val="center"/>
          </w:tcPr>
          <w:p w14:paraId="740DC7C6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Primary biliary cirrhosis</w:t>
            </w:r>
          </w:p>
        </w:tc>
        <w:tc>
          <w:tcPr>
            <w:tcW w:w="1276" w:type="dxa"/>
            <w:vAlign w:val="center"/>
          </w:tcPr>
          <w:p w14:paraId="4FB5F0D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 w14:paraId="11E52FF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Carey, EJ</w:t>
            </w:r>
          </w:p>
        </w:tc>
        <w:tc>
          <w:tcPr>
            <w:tcW w:w="1417" w:type="dxa"/>
            <w:vAlign w:val="center"/>
          </w:tcPr>
          <w:p w14:paraId="206DD1A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Lancet</w:t>
            </w:r>
          </w:p>
        </w:tc>
        <w:tc>
          <w:tcPr>
            <w:tcW w:w="993" w:type="dxa"/>
            <w:vAlign w:val="center"/>
          </w:tcPr>
          <w:p w14:paraId="300FB82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290</w:t>
            </w:r>
          </w:p>
        </w:tc>
      </w:tr>
      <w:tr w:rsidR="00151511" w:rsidRPr="00151511" w14:paraId="36D37B7F" w14:textId="77777777" w:rsidTr="00151511">
        <w:trPr>
          <w:trHeight w:val="1996"/>
        </w:trPr>
        <w:tc>
          <w:tcPr>
            <w:tcW w:w="844" w:type="dxa"/>
            <w:vAlign w:val="center"/>
          </w:tcPr>
          <w:p w14:paraId="2A7D9AB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33" w:type="dxa"/>
            <w:vAlign w:val="center"/>
          </w:tcPr>
          <w:p w14:paraId="2FA50080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Sex and Age Are Determinants of the Clinical Phenotype of Primary Biliary Cirrhosis and Response to Ursodeoxycholic Acid</w:t>
            </w:r>
          </w:p>
        </w:tc>
        <w:tc>
          <w:tcPr>
            <w:tcW w:w="1276" w:type="dxa"/>
            <w:vAlign w:val="center"/>
          </w:tcPr>
          <w:p w14:paraId="6810F3C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 w14:paraId="6D6626B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Carbone, M</w:t>
            </w:r>
          </w:p>
        </w:tc>
        <w:tc>
          <w:tcPr>
            <w:tcW w:w="1417" w:type="dxa"/>
            <w:vAlign w:val="center"/>
          </w:tcPr>
          <w:p w14:paraId="02E7FE2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 w14:paraId="190D85D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218</w:t>
            </w:r>
          </w:p>
        </w:tc>
      </w:tr>
      <w:tr w:rsidR="00151511" w:rsidRPr="00151511" w14:paraId="00A1D937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6A35761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33" w:type="dxa"/>
            <w:vAlign w:val="center"/>
          </w:tcPr>
          <w:p w14:paraId="1FFFA6EC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Levels of Alkaline Phosphatase and Bilirubin Are Surrogate End Points of Outcomes of Patients With Primary Biliary Cirrhosis: An International Follow-up Study</w:t>
            </w:r>
          </w:p>
        </w:tc>
        <w:tc>
          <w:tcPr>
            <w:tcW w:w="1276" w:type="dxa"/>
            <w:vAlign w:val="center"/>
          </w:tcPr>
          <w:p w14:paraId="2DB3746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2014</w:t>
            </w:r>
          </w:p>
        </w:tc>
        <w:tc>
          <w:tcPr>
            <w:tcW w:w="1276" w:type="dxa"/>
            <w:vAlign w:val="center"/>
          </w:tcPr>
          <w:p w14:paraId="5885E7B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Lammers, WJ</w:t>
            </w:r>
          </w:p>
        </w:tc>
        <w:tc>
          <w:tcPr>
            <w:tcW w:w="1417" w:type="dxa"/>
            <w:vAlign w:val="center"/>
          </w:tcPr>
          <w:p w14:paraId="24163B5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 w14:paraId="03EEF10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221</w:t>
            </w:r>
          </w:p>
        </w:tc>
      </w:tr>
      <w:tr w:rsidR="00151511" w:rsidRPr="00151511" w14:paraId="0B219467" w14:textId="77777777" w:rsidTr="00C61EAC">
        <w:trPr>
          <w:trHeight w:val="639"/>
        </w:trPr>
        <w:tc>
          <w:tcPr>
            <w:tcW w:w="844" w:type="dxa"/>
            <w:vAlign w:val="center"/>
          </w:tcPr>
          <w:p w14:paraId="5C16B88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233" w:type="dxa"/>
            <w:vAlign w:val="center"/>
          </w:tcPr>
          <w:p w14:paraId="6EB1A03B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Early primary biliary cirrhosis: Biochemical response to treatment and prediction of long-term outcome</w:t>
            </w:r>
          </w:p>
        </w:tc>
        <w:tc>
          <w:tcPr>
            <w:tcW w:w="1276" w:type="dxa"/>
            <w:vAlign w:val="center"/>
          </w:tcPr>
          <w:p w14:paraId="2F5CDB8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 w14:paraId="185F0A6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Corpechot, C</w:t>
            </w:r>
          </w:p>
        </w:tc>
        <w:tc>
          <w:tcPr>
            <w:tcW w:w="1417" w:type="dxa"/>
            <w:vAlign w:val="center"/>
          </w:tcPr>
          <w:p w14:paraId="111E35D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 w14:paraId="4F04EDB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229</w:t>
            </w:r>
          </w:p>
        </w:tc>
      </w:tr>
      <w:tr w:rsidR="00151511" w:rsidRPr="00151511" w14:paraId="0797A8F0" w14:textId="77777777" w:rsidTr="00151511">
        <w:trPr>
          <w:trHeight w:val="1055"/>
        </w:trPr>
        <w:tc>
          <w:tcPr>
            <w:tcW w:w="844" w:type="dxa"/>
            <w:vAlign w:val="center"/>
          </w:tcPr>
          <w:p w14:paraId="2246E8F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33" w:type="dxa"/>
            <w:vAlign w:val="center"/>
          </w:tcPr>
          <w:p w14:paraId="15652D3F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Primary biliary cirrhosis</w:t>
            </w:r>
          </w:p>
        </w:tc>
        <w:tc>
          <w:tcPr>
            <w:tcW w:w="1276" w:type="dxa"/>
            <w:vAlign w:val="center"/>
          </w:tcPr>
          <w:p w14:paraId="65857C9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 w14:paraId="4D0A6BC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Selmi, C</w:t>
            </w:r>
          </w:p>
        </w:tc>
        <w:tc>
          <w:tcPr>
            <w:tcW w:w="1417" w:type="dxa"/>
            <w:vAlign w:val="center"/>
          </w:tcPr>
          <w:p w14:paraId="23D480F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Lancet</w:t>
            </w:r>
          </w:p>
        </w:tc>
        <w:tc>
          <w:tcPr>
            <w:tcW w:w="993" w:type="dxa"/>
            <w:vAlign w:val="center"/>
          </w:tcPr>
          <w:p w14:paraId="2A65346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217</w:t>
            </w:r>
          </w:p>
        </w:tc>
      </w:tr>
      <w:tr w:rsidR="00151511" w:rsidRPr="00151511" w14:paraId="54405B9E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6038B30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233" w:type="dxa"/>
            <w:vAlign w:val="center"/>
          </w:tcPr>
          <w:p w14:paraId="7A3954C8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Baseline Ductopenia and Treatment Response Predict Long-Term Histological Progression in Primary Biliary Cirrhosis</w:t>
            </w:r>
          </w:p>
        </w:tc>
        <w:tc>
          <w:tcPr>
            <w:tcW w:w="1276" w:type="dxa"/>
            <w:vAlign w:val="center"/>
          </w:tcPr>
          <w:p w14:paraId="047667C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4D7919E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Kumagi, T</w:t>
            </w:r>
          </w:p>
        </w:tc>
        <w:tc>
          <w:tcPr>
            <w:tcW w:w="1417" w:type="dxa"/>
            <w:vAlign w:val="center"/>
          </w:tcPr>
          <w:p w14:paraId="39E4C65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Am J Gastroenterol</w:t>
            </w:r>
          </w:p>
        </w:tc>
        <w:tc>
          <w:tcPr>
            <w:tcW w:w="993" w:type="dxa"/>
            <w:vAlign w:val="center"/>
          </w:tcPr>
          <w:p w14:paraId="189982E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199</w:t>
            </w:r>
          </w:p>
        </w:tc>
      </w:tr>
      <w:tr w:rsidR="00151511" w:rsidRPr="00151511" w14:paraId="15214133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4407ABF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33" w:type="dxa"/>
            <w:vAlign w:val="center"/>
          </w:tcPr>
          <w:p w14:paraId="755D0E53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The Immunobiology and Pathophysiology of Primary Biliary Cirrhosis</w:t>
            </w:r>
          </w:p>
        </w:tc>
        <w:tc>
          <w:tcPr>
            <w:tcW w:w="1276" w:type="dxa"/>
            <w:vAlign w:val="center"/>
          </w:tcPr>
          <w:p w14:paraId="0DFB801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 w14:paraId="046CADA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 w14:paraId="584F5A6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Annu Rev Pathol-Mech</w:t>
            </w:r>
          </w:p>
        </w:tc>
        <w:tc>
          <w:tcPr>
            <w:tcW w:w="993" w:type="dxa"/>
            <w:vAlign w:val="center"/>
          </w:tcPr>
          <w:p w14:paraId="774B0C3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</w:t>
            </w:r>
          </w:p>
        </w:tc>
      </w:tr>
      <w:tr w:rsidR="00151511" w:rsidRPr="00151511" w14:paraId="5330D9CE" w14:textId="77777777" w:rsidTr="00151511">
        <w:trPr>
          <w:trHeight w:val="1006"/>
        </w:trPr>
        <w:tc>
          <w:tcPr>
            <w:tcW w:w="844" w:type="dxa"/>
            <w:vAlign w:val="center"/>
          </w:tcPr>
          <w:p w14:paraId="37CF0E7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233" w:type="dxa"/>
            <w:vAlign w:val="center"/>
          </w:tcPr>
          <w:p w14:paraId="1D6B4D11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Primary biliary cirrhosis: A 2010 update</w:t>
            </w:r>
          </w:p>
        </w:tc>
        <w:tc>
          <w:tcPr>
            <w:tcW w:w="1276" w:type="dxa"/>
            <w:vAlign w:val="center"/>
          </w:tcPr>
          <w:p w14:paraId="38784A7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79CE518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Poupon, R</w:t>
            </w:r>
          </w:p>
        </w:tc>
        <w:tc>
          <w:tcPr>
            <w:tcW w:w="1417" w:type="dxa"/>
            <w:vAlign w:val="center"/>
          </w:tcPr>
          <w:p w14:paraId="7B1BC4F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 w14:paraId="73605F3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209</w:t>
            </w:r>
          </w:p>
        </w:tc>
      </w:tr>
      <w:tr w:rsidR="00151511" w:rsidRPr="00151511" w14:paraId="342164E0" w14:textId="77777777" w:rsidTr="00151511">
        <w:trPr>
          <w:trHeight w:val="1943"/>
        </w:trPr>
        <w:tc>
          <w:tcPr>
            <w:tcW w:w="844" w:type="dxa"/>
            <w:vAlign w:val="center"/>
          </w:tcPr>
          <w:p w14:paraId="1420892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17</w:t>
            </w:r>
          </w:p>
        </w:tc>
        <w:tc>
          <w:tcPr>
            <w:tcW w:w="3233" w:type="dxa"/>
            <w:vAlign w:val="center"/>
          </w:tcPr>
          <w:p w14:paraId="3F3B7F48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Development and Validation of a Scoring System to Predict Outcomes of Patients With Primary Biliary Cirrhosis Receiving Ursodeoxycholic Acid Therapy</w:t>
            </w:r>
          </w:p>
        </w:tc>
        <w:tc>
          <w:tcPr>
            <w:tcW w:w="1276" w:type="dxa"/>
            <w:vAlign w:val="center"/>
          </w:tcPr>
          <w:p w14:paraId="688EB14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 w14:paraId="45335BD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Lammers, WJ</w:t>
            </w:r>
          </w:p>
        </w:tc>
        <w:tc>
          <w:tcPr>
            <w:tcW w:w="1417" w:type="dxa"/>
            <w:vAlign w:val="center"/>
          </w:tcPr>
          <w:p w14:paraId="5E5619C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 w14:paraId="28287BC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192</w:t>
            </w:r>
          </w:p>
        </w:tc>
      </w:tr>
      <w:tr w:rsidR="00151511" w:rsidRPr="00151511" w14:paraId="0C3A2A79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0027A83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233" w:type="dxa"/>
            <w:vAlign w:val="center"/>
          </w:tcPr>
          <w:p w14:paraId="0C6CFA5C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Dense fine-mapping study identifies new susceptibility loci for primary biliary cirrhosis</w:t>
            </w:r>
          </w:p>
        </w:tc>
        <w:tc>
          <w:tcPr>
            <w:tcW w:w="1276" w:type="dxa"/>
            <w:vAlign w:val="center"/>
          </w:tcPr>
          <w:p w14:paraId="4BCD4DA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1E27CFC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Liu, JZ</w:t>
            </w:r>
          </w:p>
        </w:tc>
        <w:tc>
          <w:tcPr>
            <w:tcW w:w="1417" w:type="dxa"/>
            <w:vAlign w:val="center"/>
          </w:tcPr>
          <w:p w14:paraId="785BD07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Nat Genet</w:t>
            </w:r>
          </w:p>
        </w:tc>
        <w:tc>
          <w:tcPr>
            <w:tcW w:w="993" w:type="dxa"/>
            <w:vAlign w:val="center"/>
          </w:tcPr>
          <w:p w14:paraId="7559AC7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181</w:t>
            </w:r>
          </w:p>
        </w:tc>
      </w:tr>
      <w:tr w:rsidR="00151511" w:rsidRPr="00151511" w14:paraId="5EE3ECDB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2E7C245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233" w:type="dxa"/>
            <w:vAlign w:val="center"/>
          </w:tcPr>
          <w:p w14:paraId="6B8A38C0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Noninvasive elastography-based assessment of liver fibrosis progression and prognosis in primary biliary cirrhosis</w:t>
            </w:r>
          </w:p>
        </w:tc>
        <w:tc>
          <w:tcPr>
            <w:tcW w:w="1276" w:type="dxa"/>
            <w:vAlign w:val="center"/>
          </w:tcPr>
          <w:p w14:paraId="30B00B3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6CAB4BB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Corpechot, C</w:t>
            </w:r>
          </w:p>
        </w:tc>
        <w:tc>
          <w:tcPr>
            <w:tcW w:w="1417" w:type="dxa"/>
            <w:vAlign w:val="center"/>
          </w:tcPr>
          <w:p w14:paraId="0284ACA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36E0889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180</w:t>
            </w:r>
          </w:p>
        </w:tc>
      </w:tr>
      <w:tr w:rsidR="00151511" w:rsidRPr="00151511" w14:paraId="35A6E2BA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690277A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233" w:type="dxa"/>
            <w:vAlign w:val="center"/>
          </w:tcPr>
          <w:p w14:paraId="1EB549AA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Genome-wide Association Study Identifies TNFSF15 and POU2AF1 as Susceptibility Loci for Primary Biliary Cirrhosis in the Japanese Population</w:t>
            </w:r>
          </w:p>
        </w:tc>
        <w:tc>
          <w:tcPr>
            <w:tcW w:w="1276" w:type="dxa"/>
            <w:vAlign w:val="center"/>
          </w:tcPr>
          <w:p w14:paraId="2BD7CC3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10C2EC9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Nakamura, M</w:t>
            </w:r>
          </w:p>
        </w:tc>
        <w:tc>
          <w:tcPr>
            <w:tcW w:w="1417" w:type="dxa"/>
            <w:vAlign w:val="center"/>
          </w:tcPr>
          <w:p w14:paraId="20FB520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Am J Hum Genet</w:t>
            </w:r>
          </w:p>
        </w:tc>
        <w:tc>
          <w:tcPr>
            <w:tcW w:w="993" w:type="dxa"/>
            <w:vAlign w:val="center"/>
          </w:tcPr>
          <w:p w14:paraId="64874D2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174</w:t>
            </w:r>
          </w:p>
        </w:tc>
      </w:tr>
      <w:tr w:rsidR="00151511" w:rsidRPr="00151511" w14:paraId="045CFD36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5E54B71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233" w:type="dxa"/>
            <w:vAlign w:val="center"/>
          </w:tcPr>
          <w:p w14:paraId="7300A5B3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Variants at IRF5-TNPO3, 17q12-21 and MMEL1 are associated with primary biliary cirrhosis</w:t>
            </w:r>
          </w:p>
        </w:tc>
        <w:tc>
          <w:tcPr>
            <w:tcW w:w="1276" w:type="dxa"/>
            <w:vAlign w:val="center"/>
          </w:tcPr>
          <w:p w14:paraId="7AE1B4A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3FDBF81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 w14:paraId="74C904E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Nat Genet</w:t>
            </w:r>
          </w:p>
        </w:tc>
        <w:tc>
          <w:tcPr>
            <w:tcW w:w="993" w:type="dxa"/>
            <w:vAlign w:val="center"/>
          </w:tcPr>
          <w:p w14:paraId="5ECD485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162</w:t>
            </w:r>
          </w:p>
        </w:tc>
      </w:tr>
      <w:tr w:rsidR="00151511" w:rsidRPr="00151511" w14:paraId="3818CBBD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7E6ABEA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233" w:type="dxa"/>
            <w:vAlign w:val="center"/>
          </w:tcPr>
          <w:p w14:paraId="60211C27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Primary biliary cirrhosis is associated with altered hepatic microRNA expression</w:t>
            </w:r>
          </w:p>
        </w:tc>
        <w:tc>
          <w:tcPr>
            <w:tcW w:w="1276" w:type="dxa"/>
            <w:vAlign w:val="center"/>
          </w:tcPr>
          <w:p w14:paraId="7141FE6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0BC88C8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Padgett, KA</w:t>
            </w:r>
          </w:p>
        </w:tc>
        <w:tc>
          <w:tcPr>
            <w:tcW w:w="1417" w:type="dxa"/>
            <w:vAlign w:val="center"/>
          </w:tcPr>
          <w:p w14:paraId="27C4073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 w14:paraId="2655793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171</w:t>
            </w:r>
          </w:p>
        </w:tc>
      </w:tr>
      <w:tr w:rsidR="00151511" w:rsidRPr="00151511" w14:paraId="71299296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2A4CDC7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233" w:type="dxa"/>
            <w:vAlign w:val="center"/>
          </w:tcPr>
          <w:p w14:paraId="61B1992A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Biliary Apotopes and Anti-Mitochondrial Antibodies Activate Innate Immune Responses in Primary Biliary Cirrhosis</w:t>
            </w:r>
          </w:p>
        </w:tc>
        <w:tc>
          <w:tcPr>
            <w:tcW w:w="1276" w:type="dxa"/>
            <w:vAlign w:val="center"/>
          </w:tcPr>
          <w:p w14:paraId="754DD05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453EDC5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Lleo, A</w:t>
            </w:r>
          </w:p>
        </w:tc>
        <w:tc>
          <w:tcPr>
            <w:tcW w:w="1417" w:type="dxa"/>
            <w:vAlign w:val="center"/>
          </w:tcPr>
          <w:p w14:paraId="1797F91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3C3C522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158</w:t>
            </w:r>
          </w:p>
        </w:tc>
      </w:tr>
      <w:tr w:rsidR="00151511" w:rsidRPr="00151511" w14:paraId="193067AC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62E9899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233" w:type="dxa"/>
            <w:vAlign w:val="center"/>
          </w:tcPr>
          <w:p w14:paraId="344F49EE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 Placebo-Controlled Trial of Bezafibrate in Primary Biliary Cholangitis</w:t>
            </w:r>
          </w:p>
        </w:tc>
        <w:tc>
          <w:tcPr>
            <w:tcW w:w="1276" w:type="dxa"/>
            <w:vAlign w:val="center"/>
          </w:tcPr>
          <w:p w14:paraId="60D4098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2018</w:t>
            </w:r>
          </w:p>
        </w:tc>
        <w:tc>
          <w:tcPr>
            <w:tcW w:w="1276" w:type="dxa"/>
            <w:vAlign w:val="center"/>
          </w:tcPr>
          <w:p w14:paraId="417E404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Corpechot, C</w:t>
            </w:r>
          </w:p>
        </w:tc>
        <w:tc>
          <w:tcPr>
            <w:tcW w:w="1417" w:type="dxa"/>
            <w:vAlign w:val="center"/>
          </w:tcPr>
          <w:p w14:paraId="2373F10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New Engl J Med</w:t>
            </w:r>
          </w:p>
        </w:tc>
        <w:tc>
          <w:tcPr>
            <w:tcW w:w="993" w:type="dxa"/>
            <w:vAlign w:val="center"/>
          </w:tcPr>
          <w:p w14:paraId="31F182B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157</w:t>
            </w:r>
          </w:p>
        </w:tc>
      </w:tr>
      <w:tr w:rsidR="00151511" w:rsidRPr="00151511" w14:paraId="365EC66F" w14:textId="77777777" w:rsidTr="00151511">
        <w:trPr>
          <w:trHeight w:val="818"/>
        </w:trPr>
        <w:tc>
          <w:tcPr>
            <w:tcW w:w="844" w:type="dxa"/>
            <w:vAlign w:val="center"/>
          </w:tcPr>
          <w:p w14:paraId="7105E60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25</w:t>
            </w:r>
          </w:p>
        </w:tc>
        <w:tc>
          <w:tcPr>
            <w:tcW w:w="3233" w:type="dxa"/>
            <w:vAlign w:val="center"/>
          </w:tcPr>
          <w:p w14:paraId="0A55C13B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Hepatic IL-17 responses in human and murine primary biliary cirrhosis</w:t>
            </w:r>
          </w:p>
        </w:tc>
        <w:tc>
          <w:tcPr>
            <w:tcW w:w="1276" w:type="dxa"/>
            <w:vAlign w:val="center"/>
          </w:tcPr>
          <w:p w14:paraId="16E2BA7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1319473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Lan, RYZ</w:t>
            </w:r>
          </w:p>
        </w:tc>
        <w:tc>
          <w:tcPr>
            <w:tcW w:w="1417" w:type="dxa"/>
            <w:vAlign w:val="center"/>
          </w:tcPr>
          <w:p w14:paraId="4BCEFCB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 w14:paraId="5EC13D6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161</w:t>
            </w:r>
          </w:p>
        </w:tc>
      </w:tr>
      <w:tr w:rsidR="00151511" w:rsidRPr="00151511" w14:paraId="097C7115" w14:textId="77777777" w:rsidTr="00151511">
        <w:trPr>
          <w:trHeight w:val="1897"/>
        </w:trPr>
        <w:tc>
          <w:tcPr>
            <w:tcW w:w="844" w:type="dxa"/>
            <w:vAlign w:val="center"/>
          </w:tcPr>
          <w:p w14:paraId="6CEF548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233" w:type="dxa"/>
            <w:vAlign w:val="center"/>
          </w:tcPr>
          <w:p w14:paraId="3489E44E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Primary Biliary Cholangitis: 2018 Practice Guidance from the American Association for the Study of Liver Diseases</w:t>
            </w:r>
          </w:p>
        </w:tc>
        <w:tc>
          <w:tcPr>
            <w:tcW w:w="1276" w:type="dxa"/>
            <w:vAlign w:val="center"/>
          </w:tcPr>
          <w:p w14:paraId="29085F8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2019</w:t>
            </w:r>
          </w:p>
        </w:tc>
        <w:tc>
          <w:tcPr>
            <w:tcW w:w="1276" w:type="dxa"/>
            <w:vAlign w:val="center"/>
          </w:tcPr>
          <w:p w14:paraId="414573B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Lindor, KD</w:t>
            </w:r>
          </w:p>
        </w:tc>
        <w:tc>
          <w:tcPr>
            <w:tcW w:w="1417" w:type="dxa"/>
            <w:vAlign w:val="center"/>
          </w:tcPr>
          <w:p w14:paraId="2074293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235EDE2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162</w:t>
            </w:r>
          </w:p>
        </w:tc>
      </w:tr>
      <w:tr w:rsidR="00151511" w:rsidRPr="00151511" w14:paraId="77A92E90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060AE4F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233" w:type="dxa"/>
            <w:vAlign w:val="center"/>
          </w:tcPr>
          <w:p w14:paraId="6AFF4D6B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 xml:space="preserve">The Demography </w:t>
            </w: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o</w:t>
            </w:r>
            <w:r w:rsidRPr="00151511">
              <w:rPr>
                <w:rFonts w:eastAsia="宋体" w:cs="Times New Roman"/>
                <w:sz w:val="20"/>
                <w:szCs w:val="20"/>
              </w:rPr>
              <w:t xml:space="preserve">f Primary Biliary-Cirrhosis </w:t>
            </w: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i</w:t>
            </w:r>
            <w:r w:rsidRPr="00151511">
              <w:rPr>
                <w:rFonts w:eastAsia="宋体" w:cs="Times New Roman"/>
                <w:sz w:val="20"/>
                <w:szCs w:val="20"/>
              </w:rPr>
              <w:t>n Ontario, Canada</w:t>
            </w:r>
          </w:p>
        </w:tc>
        <w:tc>
          <w:tcPr>
            <w:tcW w:w="1276" w:type="dxa"/>
            <w:vAlign w:val="center"/>
          </w:tcPr>
          <w:p w14:paraId="5F49F2B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1990</w:t>
            </w:r>
          </w:p>
        </w:tc>
        <w:tc>
          <w:tcPr>
            <w:tcW w:w="1276" w:type="dxa"/>
            <w:vAlign w:val="center"/>
          </w:tcPr>
          <w:p w14:paraId="32F11F1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Wittsullivan, H</w:t>
            </w:r>
          </w:p>
        </w:tc>
        <w:tc>
          <w:tcPr>
            <w:tcW w:w="1417" w:type="dxa"/>
            <w:vAlign w:val="center"/>
          </w:tcPr>
          <w:p w14:paraId="6742693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79CAE46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146</w:t>
            </w:r>
          </w:p>
        </w:tc>
      </w:tr>
      <w:tr w:rsidR="00151511" w:rsidRPr="00151511" w14:paraId="7FA8A7DA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06C40C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233" w:type="dxa"/>
            <w:vAlign w:val="center"/>
          </w:tcPr>
          <w:p w14:paraId="43FDCC83" w14:textId="77777777" w:rsidR="00151511" w:rsidRPr="00151511" w:rsidRDefault="00151511" w:rsidP="00151511">
            <w:pPr>
              <w:spacing w:line="360" w:lineRule="auto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Apotopes and the Biliary Specificity of Primary Biliary Cirrhosis</w:t>
            </w:r>
          </w:p>
        </w:tc>
        <w:tc>
          <w:tcPr>
            <w:tcW w:w="1276" w:type="dxa"/>
            <w:vAlign w:val="center"/>
          </w:tcPr>
          <w:p w14:paraId="7A9B9C9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3ED37FB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Lleo, A</w:t>
            </w:r>
          </w:p>
        </w:tc>
        <w:tc>
          <w:tcPr>
            <w:tcW w:w="1417" w:type="dxa"/>
            <w:vAlign w:val="center"/>
          </w:tcPr>
          <w:p w14:paraId="52D732C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24C39E9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144</w:t>
            </w:r>
          </w:p>
        </w:tc>
      </w:tr>
      <w:tr w:rsidR="00151511" w:rsidRPr="00151511" w14:paraId="54CDF7B1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043C469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233" w:type="dxa"/>
            <w:vAlign w:val="center"/>
          </w:tcPr>
          <w:p w14:paraId="176CD404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The UK-PBC Risk Scores: Derivation and Validation of a Scoring System for Long-Term Prediction of End-Stage Liver Disease in Primary Biliary Cholangitis</w:t>
            </w:r>
          </w:p>
        </w:tc>
        <w:tc>
          <w:tcPr>
            <w:tcW w:w="1276" w:type="dxa"/>
            <w:vAlign w:val="center"/>
          </w:tcPr>
          <w:p w14:paraId="450E6A08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 w14:paraId="550680C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Carbone, M</w:t>
            </w:r>
          </w:p>
        </w:tc>
        <w:tc>
          <w:tcPr>
            <w:tcW w:w="1417" w:type="dxa"/>
            <w:vAlign w:val="center"/>
          </w:tcPr>
          <w:p w14:paraId="75885F1C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0BB5B42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146</w:t>
            </w:r>
          </w:p>
        </w:tc>
      </w:tr>
      <w:tr w:rsidR="00151511" w:rsidRPr="00151511" w14:paraId="169CFD54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7CA416D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233" w:type="dxa"/>
            <w:vAlign w:val="center"/>
          </w:tcPr>
          <w:p w14:paraId="3E0E2D1F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Development, validation, and evaluation of the PBC-40, a disease specific health related quality of life measure for primary biliary cirrhosis</w:t>
            </w:r>
          </w:p>
        </w:tc>
        <w:tc>
          <w:tcPr>
            <w:tcW w:w="1276" w:type="dxa"/>
            <w:vAlign w:val="center"/>
          </w:tcPr>
          <w:p w14:paraId="40E5DC72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2005</w:t>
            </w:r>
          </w:p>
        </w:tc>
        <w:tc>
          <w:tcPr>
            <w:tcW w:w="1276" w:type="dxa"/>
            <w:vAlign w:val="center"/>
          </w:tcPr>
          <w:p w14:paraId="4D46E79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Jacoby, A</w:t>
            </w:r>
          </w:p>
        </w:tc>
        <w:tc>
          <w:tcPr>
            <w:tcW w:w="1417" w:type="dxa"/>
            <w:vAlign w:val="center"/>
          </w:tcPr>
          <w:p w14:paraId="343068F3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Gut</w:t>
            </w:r>
          </w:p>
        </w:tc>
        <w:tc>
          <w:tcPr>
            <w:tcW w:w="993" w:type="dxa"/>
            <w:vAlign w:val="center"/>
          </w:tcPr>
          <w:p w14:paraId="4036EFD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142</w:t>
            </w:r>
          </w:p>
        </w:tc>
      </w:tr>
      <w:tr w:rsidR="00151511" w:rsidRPr="00151511" w14:paraId="3A824983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1FAF45A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31</w:t>
            </w:r>
          </w:p>
        </w:tc>
        <w:tc>
          <w:tcPr>
            <w:tcW w:w="3233" w:type="dxa"/>
            <w:vAlign w:val="center"/>
          </w:tcPr>
          <w:p w14:paraId="220FCBBF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Up-regulation of microRNA 506 leads to decreased Cl-/HCO3- anion exchanger 2 expression in biliary epithelium of patients with primary biliary cirrhosis</w:t>
            </w:r>
          </w:p>
        </w:tc>
        <w:tc>
          <w:tcPr>
            <w:tcW w:w="1276" w:type="dxa"/>
            <w:vAlign w:val="center"/>
          </w:tcPr>
          <w:p w14:paraId="53081B14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7903AD0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Banales, JM</w:t>
            </w:r>
          </w:p>
        </w:tc>
        <w:tc>
          <w:tcPr>
            <w:tcW w:w="1417" w:type="dxa"/>
            <w:vAlign w:val="center"/>
          </w:tcPr>
          <w:p w14:paraId="1D129CF3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6E1BC5D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141</w:t>
            </w:r>
          </w:p>
        </w:tc>
      </w:tr>
      <w:tr w:rsidR="00151511" w:rsidRPr="00151511" w14:paraId="2FF9D151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34AF01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3233" w:type="dxa"/>
            <w:vAlign w:val="center"/>
          </w:tcPr>
          <w:p w14:paraId="5CE9A9D3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Demographic, lifestyle, medical and familial factors associated with primary biliary cirrhosis</w:t>
            </w:r>
          </w:p>
        </w:tc>
        <w:tc>
          <w:tcPr>
            <w:tcW w:w="1276" w:type="dxa"/>
            <w:vAlign w:val="center"/>
          </w:tcPr>
          <w:p w14:paraId="0B24ED14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22A7E18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Corpechot, C</w:t>
            </w:r>
          </w:p>
        </w:tc>
        <w:tc>
          <w:tcPr>
            <w:tcW w:w="1417" w:type="dxa"/>
            <w:vAlign w:val="center"/>
          </w:tcPr>
          <w:p w14:paraId="1D848410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 w14:paraId="7FCB293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138</w:t>
            </w:r>
          </w:p>
        </w:tc>
      </w:tr>
      <w:tr w:rsidR="00151511" w:rsidRPr="00151511" w14:paraId="2F1E22B6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1DDFE74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33</w:t>
            </w:r>
          </w:p>
        </w:tc>
        <w:tc>
          <w:tcPr>
            <w:tcW w:w="3233" w:type="dxa"/>
            <w:vAlign w:val="center"/>
          </w:tcPr>
          <w:p w14:paraId="31B8098D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International genome-wide meta-analysis identifies new primary biliary cirrhosis risk loci and targetable pathogenic pathways</w:t>
            </w:r>
          </w:p>
        </w:tc>
        <w:tc>
          <w:tcPr>
            <w:tcW w:w="1276" w:type="dxa"/>
            <w:vAlign w:val="center"/>
          </w:tcPr>
          <w:p w14:paraId="7C5324A2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 w14:paraId="1CB166D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Cordell, HJ</w:t>
            </w:r>
          </w:p>
        </w:tc>
        <w:tc>
          <w:tcPr>
            <w:tcW w:w="1417" w:type="dxa"/>
            <w:vAlign w:val="center"/>
          </w:tcPr>
          <w:p w14:paraId="5CC24574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Nat Commun</w:t>
            </w:r>
          </w:p>
        </w:tc>
        <w:tc>
          <w:tcPr>
            <w:tcW w:w="993" w:type="dxa"/>
            <w:vAlign w:val="center"/>
          </w:tcPr>
          <w:p w14:paraId="23EF51B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129</w:t>
            </w:r>
          </w:p>
        </w:tc>
      </w:tr>
      <w:tr w:rsidR="00151511" w:rsidRPr="00151511" w14:paraId="179D838C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2265C1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3233" w:type="dxa"/>
            <w:vAlign w:val="center"/>
          </w:tcPr>
          <w:p w14:paraId="04A69148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 xml:space="preserve">Gut microbial profile is altered in primary biliary cholangitis and partially restored after UDCA </w:t>
            </w:r>
            <w:r w:rsidRPr="00151511">
              <w:rPr>
                <w:rFonts w:eastAsia="宋体" w:cs="Times New Roman"/>
                <w:sz w:val="20"/>
                <w:szCs w:val="20"/>
              </w:rPr>
              <w:lastRenderedPageBreak/>
              <w:t>therapy</w:t>
            </w:r>
          </w:p>
        </w:tc>
        <w:tc>
          <w:tcPr>
            <w:tcW w:w="1276" w:type="dxa"/>
            <w:vAlign w:val="center"/>
          </w:tcPr>
          <w:p w14:paraId="052024DE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lastRenderedPageBreak/>
              <w:t>2018</w:t>
            </w:r>
          </w:p>
        </w:tc>
        <w:tc>
          <w:tcPr>
            <w:tcW w:w="1276" w:type="dxa"/>
            <w:vAlign w:val="center"/>
          </w:tcPr>
          <w:p w14:paraId="3D33047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Tang, RQ</w:t>
            </w:r>
          </w:p>
        </w:tc>
        <w:tc>
          <w:tcPr>
            <w:tcW w:w="1417" w:type="dxa"/>
            <w:vAlign w:val="center"/>
          </w:tcPr>
          <w:p w14:paraId="693FC67C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Gut</w:t>
            </w:r>
          </w:p>
        </w:tc>
        <w:tc>
          <w:tcPr>
            <w:tcW w:w="993" w:type="dxa"/>
            <w:vAlign w:val="center"/>
          </w:tcPr>
          <w:p w14:paraId="4EAE812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144</w:t>
            </w:r>
          </w:p>
        </w:tc>
      </w:tr>
      <w:tr w:rsidR="00151511" w:rsidRPr="00151511" w14:paraId="5FA02D55" w14:textId="77777777" w:rsidTr="00C61EAC">
        <w:trPr>
          <w:trHeight w:val="1098"/>
        </w:trPr>
        <w:tc>
          <w:tcPr>
            <w:tcW w:w="844" w:type="dxa"/>
            <w:vAlign w:val="center"/>
          </w:tcPr>
          <w:p w14:paraId="10CC453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lastRenderedPageBreak/>
              <w:t>35</w:t>
            </w:r>
          </w:p>
        </w:tc>
        <w:tc>
          <w:tcPr>
            <w:tcW w:w="3233" w:type="dxa"/>
            <w:vAlign w:val="center"/>
          </w:tcPr>
          <w:p w14:paraId="0787062D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Primary biliary cirrhosis</w:t>
            </w:r>
          </w:p>
        </w:tc>
        <w:tc>
          <w:tcPr>
            <w:tcW w:w="1276" w:type="dxa"/>
            <w:vAlign w:val="center"/>
          </w:tcPr>
          <w:p w14:paraId="6204A79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679F25D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Hohenester, S</w:t>
            </w:r>
          </w:p>
        </w:tc>
        <w:tc>
          <w:tcPr>
            <w:tcW w:w="1417" w:type="dxa"/>
            <w:vAlign w:val="center"/>
          </w:tcPr>
          <w:p w14:paraId="5F7CD52B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Semin Immunopathol</w:t>
            </w:r>
          </w:p>
        </w:tc>
        <w:tc>
          <w:tcPr>
            <w:tcW w:w="993" w:type="dxa"/>
            <w:vAlign w:val="center"/>
          </w:tcPr>
          <w:p w14:paraId="530AC7C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124</w:t>
            </w:r>
          </w:p>
        </w:tc>
      </w:tr>
      <w:tr w:rsidR="00151511" w:rsidRPr="00151511" w14:paraId="24BE6ED8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1EF80D9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36</w:t>
            </w:r>
          </w:p>
        </w:tc>
        <w:tc>
          <w:tcPr>
            <w:tcW w:w="3233" w:type="dxa"/>
            <w:vAlign w:val="center"/>
          </w:tcPr>
          <w:p w14:paraId="2D2F23EB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Periductal interleukin-17 production in association with biliary innate immunity contributes to the pathogenesis of cholangiopathy in primary biliary cirrhosis</w:t>
            </w:r>
          </w:p>
        </w:tc>
        <w:tc>
          <w:tcPr>
            <w:tcW w:w="1276" w:type="dxa"/>
            <w:vAlign w:val="center"/>
          </w:tcPr>
          <w:p w14:paraId="0481A6B9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7CE5AB1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Harada, K</w:t>
            </w:r>
          </w:p>
        </w:tc>
        <w:tc>
          <w:tcPr>
            <w:tcW w:w="1417" w:type="dxa"/>
            <w:vAlign w:val="center"/>
          </w:tcPr>
          <w:p w14:paraId="11E1B82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Clin Exp Immunol</w:t>
            </w:r>
          </w:p>
        </w:tc>
        <w:tc>
          <w:tcPr>
            <w:tcW w:w="993" w:type="dxa"/>
            <w:vAlign w:val="center"/>
          </w:tcPr>
          <w:p w14:paraId="1B624A0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129</w:t>
            </w:r>
          </w:p>
        </w:tc>
      </w:tr>
      <w:tr w:rsidR="00151511" w:rsidRPr="00151511" w14:paraId="3E40A856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8AF23D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37</w:t>
            </w:r>
          </w:p>
        </w:tc>
        <w:tc>
          <w:tcPr>
            <w:tcW w:w="3233" w:type="dxa"/>
            <w:vAlign w:val="center"/>
          </w:tcPr>
          <w:p w14:paraId="31FDF07A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IL-12/Th1 and IL-23/Th17 Biliary Microenvironment in Primary Biliary Cirrhosis: Implications for Therapy</w:t>
            </w:r>
          </w:p>
        </w:tc>
        <w:tc>
          <w:tcPr>
            <w:tcW w:w="1276" w:type="dxa"/>
            <w:vAlign w:val="center"/>
          </w:tcPr>
          <w:p w14:paraId="75FF5335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2014</w:t>
            </w:r>
          </w:p>
        </w:tc>
        <w:tc>
          <w:tcPr>
            <w:tcW w:w="1276" w:type="dxa"/>
            <w:vAlign w:val="center"/>
          </w:tcPr>
          <w:p w14:paraId="5F27FEC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Yang, CY</w:t>
            </w:r>
          </w:p>
        </w:tc>
        <w:tc>
          <w:tcPr>
            <w:tcW w:w="1417" w:type="dxa"/>
            <w:vAlign w:val="center"/>
          </w:tcPr>
          <w:p w14:paraId="1C651E89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6E51413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119</w:t>
            </w:r>
          </w:p>
        </w:tc>
      </w:tr>
      <w:tr w:rsidR="00151511" w:rsidRPr="00151511" w14:paraId="12C4AD17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5186C9B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38</w:t>
            </w:r>
          </w:p>
        </w:tc>
        <w:tc>
          <w:tcPr>
            <w:tcW w:w="3233" w:type="dxa"/>
            <w:vAlign w:val="center"/>
          </w:tcPr>
          <w:p w14:paraId="3AF5C048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Imbalance between T helper type 17 and T regulatory cells in patients with primary biliary cirrhosis: the serum cytokine profile and peripheral cell population</w:t>
            </w:r>
          </w:p>
        </w:tc>
        <w:tc>
          <w:tcPr>
            <w:tcW w:w="1276" w:type="dxa"/>
            <w:vAlign w:val="center"/>
          </w:tcPr>
          <w:p w14:paraId="00DE709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7091E99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Rong, G</w:t>
            </w:r>
          </w:p>
        </w:tc>
        <w:tc>
          <w:tcPr>
            <w:tcW w:w="1417" w:type="dxa"/>
            <w:vAlign w:val="center"/>
          </w:tcPr>
          <w:p w14:paraId="28BAD0B9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Clin Exp Immunol</w:t>
            </w:r>
          </w:p>
        </w:tc>
        <w:tc>
          <w:tcPr>
            <w:tcW w:w="993" w:type="dxa"/>
            <w:vAlign w:val="center"/>
          </w:tcPr>
          <w:p w14:paraId="21E6151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127</w:t>
            </w:r>
          </w:p>
        </w:tc>
      </w:tr>
      <w:tr w:rsidR="00151511" w:rsidRPr="00151511" w14:paraId="5D05F893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1E30FDA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39</w:t>
            </w:r>
          </w:p>
        </w:tc>
        <w:tc>
          <w:tcPr>
            <w:tcW w:w="3233" w:type="dxa"/>
            <w:vAlign w:val="center"/>
          </w:tcPr>
          <w:p w14:paraId="587F051E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 pilot study of umbilical cord-derived mesenchymal stem cell transfusion in patients with primary biliary cirrhosis</w:t>
            </w:r>
          </w:p>
        </w:tc>
        <w:tc>
          <w:tcPr>
            <w:tcW w:w="1276" w:type="dxa"/>
            <w:vAlign w:val="center"/>
          </w:tcPr>
          <w:p w14:paraId="1BF444D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 w14:paraId="05029A8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Wang, LF</w:t>
            </w:r>
          </w:p>
        </w:tc>
        <w:tc>
          <w:tcPr>
            <w:tcW w:w="1417" w:type="dxa"/>
            <w:vAlign w:val="center"/>
          </w:tcPr>
          <w:p w14:paraId="4FEE97B0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Gastroen Hepatol</w:t>
            </w:r>
          </w:p>
        </w:tc>
        <w:tc>
          <w:tcPr>
            <w:tcW w:w="993" w:type="dxa"/>
            <w:vAlign w:val="center"/>
          </w:tcPr>
          <w:p w14:paraId="0F3E1DB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109</w:t>
            </w:r>
          </w:p>
        </w:tc>
      </w:tr>
      <w:tr w:rsidR="00151511" w:rsidRPr="00151511" w14:paraId="0AFB8F86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491E011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40</w:t>
            </w:r>
          </w:p>
        </w:tc>
        <w:tc>
          <w:tcPr>
            <w:tcW w:w="3233" w:type="dxa"/>
            <w:vAlign w:val="center"/>
          </w:tcPr>
          <w:p w14:paraId="1F1D639E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Anticholestatic Effects of Bezafibrate in Patients with Primary Biliary Cirrhosis Treated with Ursodeoxycholic Acid</w:t>
            </w:r>
          </w:p>
        </w:tc>
        <w:tc>
          <w:tcPr>
            <w:tcW w:w="1276" w:type="dxa"/>
            <w:vAlign w:val="center"/>
          </w:tcPr>
          <w:p w14:paraId="45837313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 w14:paraId="5EE26F1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Honda, A</w:t>
            </w:r>
          </w:p>
        </w:tc>
        <w:tc>
          <w:tcPr>
            <w:tcW w:w="1417" w:type="dxa"/>
            <w:vAlign w:val="center"/>
          </w:tcPr>
          <w:p w14:paraId="2FCD1210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693AAC9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108</w:t>
            </w:r>
          </w:p>
        </w:tc>
      </w:tr>
      <w:tr w:rsidR="00151511" w:rsidRPr="00151511" w14:paraId="1D6B34E6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6FBDAE6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41</w:t>
            </w:r>
          </w:p>
        </w:tc>
        <w:tc>
          <w:tcPr>
            <w:tcW w:w="3233" w:type="dxa"/>
            <w:vAlign w:val="center"/>
          </w:tcPr>
          <w:p w14:paraId="5AD91530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Pilot study: fenofibrate for patients with primary biliary cirrhosis and an incomplete response to ursodeoxycholic acid</w:t>
            </w:r>
          </w:p>
        </w:tc>
        <w:tc>
          <w:tcPr>
            <w:tcW w:w="1276" w:type="dxa"/>
            <w:vAlign w:val="center"/>
          </w:tcPr>
          <w:p w14:paraId="550EB5DE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 w14:paraId="3063E0E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Levy, C</w:t>
            </w:r>
          </w:p>
        </w:tc>
        <w:tc>
          <w:tcPr>
            <w:tcW w:w="1417" w:type="dxa"/>
            <w:vAlign w:val="center"/>
          </w:tcPr>
          <w:p w14:paraId="02B82DA1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Aliment Pharm Ther</w:t>
            </w:r>
          </w:p>
        </w:tc>
        <w:tc>
          <w:tcPr>
            <w:tcW w:w="993" w:type="dxa"/>
            <w:vAlign w:val="center"/>
          </w:tcPr>
          <w:p w14:paraId="6EBB2AF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108</w:t>
            </w:r>
          </w:p>
        </w:tc>
      </w:tr>
      <w:tr w:rsidR="00151511" w:rsidRPr="00151511" w14:paraId="12AA8684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4D921C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42</w:t>
            </w:r>
          </w:p>
        </w:tc>
        <w:tc>
          <w:tcPr>
            <w:tcW w:w="3233" w:type="dxa"/>
            <w:vAlign w:val="center"/>
          </w:tcPr>
          <w:p w14:paraId="08F11740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Case-control studies of risk factors for primary biliary cirrhosis in two United Kingdom populations</w:t>
            </w:r>
          </w:p>
        </w:tc>
        <w:tc>
          <w:tcPr>
            <w:tcW w:w="1276" w:type="dxa"/>
            <w:vAlign w:val="center"/>
          </w:tcPr>
          <w:p w14:paraId="2415AAD3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6E47197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Prince, MI</w:t>
            </w:r>
          </w:p>
        </w:tc>
        <w:tc>
          <w:tcPr>
            <w:tcW w:w="1417" w:type="dxa"/>
            <w:vAlign w:val="center"/>
          </w:tcPr>
          <w:p w14:paraId="38A81E7B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Gut</w:t>
            </w:r>
          </w:p>
        </w:tc>
        <w:tc>
          <w:tcPr>
            <w:tcW w:w="993" w:type="dxa"/>
            <w:vAlign w:val="center"/>
          </w:tcPr>
          <w:p w14:paraId="24A6161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103</w:t>
            </w:r>
          </w:p>
        </w:tc>
      </w:tr>
      <w:tr w:rsidR="00151511" w:rsidRPr="00151511" w14:paraId="1218749C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2F729B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43</w:t>
            </w:r>
          </w:p>
        </w:tc>
        <w:tc>
          <w:tcPr>
            <w:tcW w:w="3233" w:type="dxa"/>
            <w:vAlign w:val="center"/>
          </w:tcPr>
          <w:p w14:paraId="4F08B21D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Immunochip analyses identify a novel risk locus for primary biliary cirrhosis at 13q14, multiple independent associations at four established risk loci and epistasis between 1p31 and 7q32 risk variants</w:t>
            </w:r>
          </w:p>
        </w:tc>
        <w:tc>
          <w:tcPr>
            <w:tcW w:w="1276" w:type="dxa"/>
            <w:vAlign w:val="center"/>
          </w:tcPr>
          <w:p w14:paraId="1BA5F1CE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483A3B8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Juran, BD</w:t>
            </w:r>
          </w:p>
        </w:tc>
        <w:tc>
          <w:tcPr>
            <w:tcW w:w="1417" w:type="dxa"/>
            <w:vAlign w:val="center"/>
          </w:tcPr>
          <w:p w14:paraId="7D0BC0FA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Hum Mol Genet</w:t>
            </w:r>
          </w:p>
        </w:tc>
        <w:tc>
          <w:tcPr>
            <w:tcW w:w="993" w:type="dxa"/>
            <w:vAlign w:val="center"/>
          </w:tcPr>
          <w:p w14:paraId="46F7237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104</w:t>
            </w:r>
          </w:p>
        </w:tc>
      </w:tr>
      <w:tr w:rsidR="00151511" w:rsidRPr="00151511" w14:paraId="2A5125F7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4F3E391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lastRenderedPageBreak/>
              <w:t>44</w:t>
            </w:r>
          </w:p>
        </w:tc>
        <w:tc>
          <w:tcPr>
            <w:tcW w:w="3233" w:type="dxa"/>
            <w:vAlign w:val="center"/>
          </w:tcPr>
          <w:p w14:paraId="212239CC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Alterations and correlations of the gut microbiome, metabolism and immunity in patients with primary biliary cirrhosis</w:t>
            </w:r>
          </w:p>
        </w:tc>
        <w:tc>
          <w:tcPr>
            <w:tcW w:w="1276" w:type="dxa"/>
            <w:vAlign w:val="center"/>
          </w:tcPr>
          <w:p w14:paraId="3910114A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 w14:paraId="387416F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Lv, LX</w:t>
            </w:r>
          </w:p>
        </w:tc>
        <w:tc>
          <w:tcPr>
            <w:tcW w:w="1417" w:type="dxa"/>
            <w:vAlign w:val="center"/>
          </w:tcPr>
          <w:p w14:paraId="58A25F84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Environ Microbiol</w:t>
            </w:r>
          </w:p>
        </w:tc>
        <w:tc>
          <w:tcPr>
            <w:tcW w:w="993" w:type="dxa"/>
            <w:vAlign w:val="center"/>
          </w:tcPr>
          <w:p w14:paraId="68373DF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106</w:t>
            </w:r>
          </w:p>
        </w:tc>
      </w:tr>
      <w:tr w:rsidR="00151511" w:rsidRPr="00151511" w14:paraId="5944CC29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062A4A8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45</w:t>
            </w:r>
          </w:p>
        </w:tc>
        <w:tc>
          <w:tcPr>
            <w:tcW w:w="3233" w:type="dxa"/>
            <w:vAlign w:val="center"/>
          </w:tcPr>
          <w:p w14:paraId="1F79CFB2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Biochemical and immunologic effects of rituximab in patients with primary biliary cirrhosis and an incomplete response to ursodeoxycholic acid</w:t>
            </w:r>
          </w:p>
        </w:tc>
        <w:tc>
          <w:tcPr>
            <w:tcW w:w="1276" w:type="dxa"/>
            <w:vAlign w:val="center"/>
          </w:tcPr>
          <w:p w14:paraId="1F21B16A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6A9FE98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Tsuda, M</w:t>
            </w:r>
          </w:p>
        </w:tc>
        <w:tc>
          <w:tcPr>
            <w:tcW w:w="1417" w:type="dxa"/>
            <w:vAlign w:val="center"/>
          </w:tcPr>
          <w:p w14:paraId="13CDC3F8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57E3CD3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100</w:t>
            </w:r>
          </w:p>
        </w:tc>
      </w:tr>
      <w:tr w:rsidR="00151511" w:rsidRPr="00151511" w14:paraId="18BFD7BC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F59338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46</w:t>
            </w:r>
          </w:p>
        </w:tc>
        <w:tc>
          <w:tcPr>
            <w:tcW w:w="3233" w:type="dxa"/>
            <w:vAlign w:val="center"/>
          </w:tcPr>
          <w:p w14:paraId="5C1AE529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Application of a new histological staging and grading system for primary biliary cirrhosis to liver biopsy specimens: Interobserver agreement</w:t>
            </w:r>
          </w:p>
        </w:tc>
        <w:tc>
          <w:tcPr>
            <w:tcW w:w="1276" w:type="dxa"/>
            <w:vAlign w:val="center"/>
          </w:tcPr>
          <w:p w14:paraId="0ED6404C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4C6D546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Nakanuma, Y</w:t>
            </w:r>
          </w:p>
        </w:tc>
        <w:tc>
          <w:tcPr>
            <w:tcW w:w="1417" w:type="dxa"/>
            <w:vAlign w:val="center"/>
          </w:tcPr>
          <w:p w14:paraId="194B3D53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Pathol Int</w:t>
            </w:r>
          </w:p>
        </w:tc>
        <w:tc>
          <w:tcPr>
            <w:tcW w:w="993" w:type="dxa"/>
            <w:vAlign w:val="center"/>
          </w:tcPr>
          <w:p w14:paraId="767C471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98</w:t>
            </w:r>
          </w:p>
        </w:tc>
      </w:tr>
      <w:tr w:rsidR="00151511" w:rsidRPr="00151511" w14:paraId="3B27F32F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12C3F86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47</w:t>
            </w:r>
          </w:p>
        </w:tc>
        <w:tc>
          <w:tcPr>
            <w:tcW w:w="3233" w:type="dxa"/>
            <w:vAlign w:val="center"/>
          </w:tcPr>
          <w:p w14:paraId="031C53BE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Impact of Primary Biliary Cirrhosis on Perceived Quality of Life: The UK-PBC National Study</w:t>
            </w:r>
          </w:p>
        </w:tc>
        <w:tc>
          <w:tcPr>
            <w:tcW w:w="1276" w:type="dxa"/>
            <w:vAlign w:val="center"/>
          </w:tcPr>
          <w:p w14:paraId="70C563D5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 w14:paraId="5F93CAF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Mells, GF</w:t>
            </w:r>
          </w:p>
        </w:tc>
        <w:tc>
          <w:tcPr>
            <w:tcW w:w="1417" w:type="dxa"/>
            <w:vAlign w:val="center"/>
          </w:tcPr>
          <w:p w14:paraId="43DEDF77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582FC1B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99</w:t>
            </w:r>
          </w:p>
        </w:tc>
      </w:tr>
      <w:tr w:rsidR="00151511" w:rsidRPr="00151511" w14:paraId="1C628D7E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06A91A2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48</w:t>
            </w:r>
          </w:p>
        </w:tc>
        <w:tc>
          <w:tcPr>
            <w:tcW w:w="3233" w:type="dxa"/>
            <w:vAlign w:val="center"/>
          </w:tcPr>
          <w:p w14:paraId="205D4055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 randomized trial of obeticholic acid monotherapy in patients with primary biliary cholangitis</w:t>
            </w:r>
          </w:p>
        </w:tc>
        <w:tc>
          <w:tcPr>
            <w:tcW w:w="1276" w:type="dxa"/>
            <w:vAlign w:val="center"/>
          </w:tcPr>
          <w:p w14:paraId="3479C184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2018</w:t>
            </w:r>
          </w:p>
        </w:tc>
        <w:tc>
          <w:tcPr>
            <w:tcW w:w="1276" w:type="dxa"/>
            <w:vAlign w:val="center"/>
          </w:tcPr>
          <w:p w14:paraId="3E01A71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Kowdley, KV</w:t>
            </w:r>
          </w:p>
        </w:tc>
        <w:tc>
          <w:tcPr>
            <w:tcW w:w="1417" w:type="dxa"/>
            <w:vAlign w:val="center"/>
          </w:tcPr>
          <w:p w14:paraId="6074EC49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009983D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99</w:t>
            </w:r>
          </w:p>
        </w:tc>
      </w:tr>
      <w:tr w:rsidR="00151511" w:rsidRPr="00151511" w14:paraId="2092A566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0BDAE6D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49</w:t>
            </w:r>
          </w:p>
        </w:tc>
        <w:tc>
          <w:tcPr>
            <w:tcW w:w="3233" w:type="dxa"/>
            <w:vAlign w:val="center"/>
          </w:tcPr>
          <w:p w14:paraId="67D62001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Serum Wisteria floribunda Agglutinin-Positive Mac-2-Binding Protein Level Predicts Liver Fibrosis and Prognosis in Primary Biliary Cirrhosis</w:t>
            </w:r>
          </w:p>
        </w:tc>
        <w:tc>
          <w:tcPr>
            <w:tcW w:w="1276" w:type="dxa"/>
            <w:vAlign w:val="center"/>
          </w:tcPr>
          <w:p w14:paraId="1C96A56A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 w14:paraId="5A54839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Umemura, T</w:t>
            </w:r>
          </w:p>
        </w:tc>
        <w:tc>
          <w:tcPr>
            <w:tcW w:w="1417" w:type="dxa"/>
            <w:vAlign w:val="center"/>
          </w:tcPr>
          <w:p w14:paraId="7749E909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Am J Gastroenterol</w:t>
            </w:r>
          </w:p>
        </w:tc>
        <w:tc>
          <w:tcPr>
            <w:tcW w:w="993" w:type="dxa"/>
            <w:vAlign w:val="center"/>
          </w:tcPr>
          <w:p w14:paraId="697DF7A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94</w:t>
            </w:r>
          </w:p>
        </w:tc>
      </w:tr>
      <w:tr w:rsidR="00151511" w:rsidRPr="00151511" w14:paraId="794FAC45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4E00AD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3233" w:type="dxa"/>
            <w:vAlign w:val="center"/>
          </w:tcPr>
          <w:p w14:paraId="120C3984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Epidemiology and Natural History of Primary Biliary Cirrhosis in a Canadian Health Region: A Population-Based Study</w:t>
            </w:r>
          </w:p>
        </w:tc>
        <w:tc>
          <w:tcPr>
            <w:tcW w:w="1276" w:type="dxa"/>
            <w:vAlign w:val="center"/>
          </w:tcPr>
          <w:p w14:paraId="7A072FE7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00C59E8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Myers, RP</w:t>
            </w:r>
          </w:p>
        </w:tc>
        <w:tc>
          <w:tcPr>
            <w:tcW w:w="1417" w:type="dxa"/>
            <w:vAlign w:val="center"/>
          </w:tcPr>
          <w:p w14:paraId="385FE415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51BDCC3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91</w:t>
            </w:r>
          </w:p>
        </w:tc>
      </w:tr>
      <w:tr w:rsidR="00151511" w:rsidRPr="00151511" w14:paraId="6FBF7BAA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0090DAE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51</w:t>
            </w:r>
          </w:p>
        </w:tc>
        <w:tc>
          <w:tcPr>
            <w:tcW w:w="3233" w:type="dxa"/>
            <w:vAlign w:val="center"/>
          </w:tcPr>
          <w:p w14:paraId="502B029F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PBC Screen An IgG/IgA dual isotype ELISA detecting multiple mitochondrial and nuclear autoantibodies specific for primary biliary cirrhosis</w:t>
            </w:r>
          </w:p>
        </w:tc>
        <w:tc>
          <w:tcPr>
            <w:tcW w:w="1276" w:type="dxa"/>
            <w:vAlign w:val="center"/>
          </w:tcPr>
          <w:p w14:paraId="1D106FC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1A9CADF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Liu, HY</w:t>
            </w:r>
          </w:p>
        </w:tc>
        <w:tc>
          <w:tcPr>
            <w:tcW w:w="1417" w:type="dxa"/>
            <w:vAlign w:val="center"/>
          </w:tcPr>
          <w:p w14:paraId="07CB791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 w14:paraId="23F100F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92</w:t>
            </w:r>
          </w:p>
        </w:tc>
      </w:tr>
      <w:tr w:rsidR="00151511" w:rsidRPr="00151511" w14:paraId="412BAC21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1FF82AD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52</w:t>
            </w:r>
          </w:p>
        </w:tc>
        <w:tc>
          <w:tcPr>
            <w:tcW w:w="3233" w:type="dxa"/>
            <w:vAlign w:val="center"/>
          </w:tcPr>
          <w:p w14:paraId="0E9013CF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Vitamin D deficiency in cirrhosis relates to liver dysfunction rather than aetiology</w:t>
            </w:r>
          </w:p>
        </w:tc>
        <w:tc>
          <w:tcPr>
            <w:tcW w:w="1276" w:type="dxa"/>
            <w:vAlign w:val="center"/>
          </w:tcPr>
          <w:p w14:paraId="4854AB4A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 w14:paraId="733C0D7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Malham, M</w:t>
            </w:r>
          </w:p>
        </w:tc>
        <w:tc>
          <w:tcPr>
            <w:tcW w:w="1417" w:type="dxa"/>
            <w:vAlign w:val="center"/>
          </w:tcPr>
          <w:p w14:paraId="61DDC1C2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World J Gastroentero</w:t>
            </w:r>
          </w:p>
        </w:tc>
        <w:tc>
          <w:tcPr>
            <w:tcW w:w="993" w:type="dxa"/>
            <w:vAlign w:val="center"/>
          </w:tcPr>
          <w:p w14:paraId="135F116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93</w:t>
            </w:r>
          </w:p>
        </w:tc>
      </w:tr>
      <w:tr w:rsidR="00151511" w:rsidRPr="00151511" w14:paraId="2005EA89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437756A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53</w:t>
            </w:r>
          </w:p>
        </w:tc>
        <w:tc>
          <w:tcPr>
            <w:tcW w:w="3233" w:type="dxa"/>
            <w:vAlign w:val="center"/>
          </w:tcPr>
          <w:p w14:paraId="54448814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 xml:space="preserve">Primary Biliary-Cirrhosis - Geographical Clustering </w:t>
            </w: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a</w:t>
            </w:r>
            <w:r w:rsidRPr="00151511">
              <w:rPr>
                <w:rFonts w:eastAsia="宋体" w:cs="Times New Roman"/>
                <w:sz w:val="20"/>
                <w:szCs w:val="20"/>
              </w:rPr>
              <w:t>nd Symptomatic Onset Seasonality</w:t>
            </w:r>
          </w:p>
        </w:tc>
        <w:tc>
          <w:tcPr>
            <w:tcW w:w="1276" w:type="dxa"/>
            <w:vAlign w:val="center"/>
          </w:tcPr>
          <w:p w14:paraId="64255CA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1983</w:t>
            </w:r>
          </w:p>
        </w:tc>
        <w:tc>
          <w:tcPr>
            <w:tcW w:w="1276" w:type="dxa"/>
            <w:vAlign w:val="center"/>
          </w:tcPr>
          <w:p w14:paraId="08614AE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HAMLYN, AN</w:t>
            </w:r>
          </w:p>
        </w:tc>
        <w:tc>
          <w:tcPr>
            <w:tcW w:w="1417" w:type="dxa"/>
            <w:vAlign w:val="center"/>
          </w:tcPr>
          <w:p w14:paraId="1782D1D7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Gut</w:t>
            </w:r>
          </w:p>
        </w:tc>
        <w:tc>
          <w:tcPr>
            <w:tcW w:w="993" w:type="dxa"/>
            <w:vAlign w:val="center"/>
          </w:tcPr>
          <w:p w14:paraId="10B8E3C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86</w:t>
            </w:r>
          </w:p>
        </w:tc>
      </w:tr>
      <w:tr w:rsidR="00151511" w:rsidRPr="00151511" w14:paraId="6DE77201" w14:textId="77777777" w:rsidTr="00C61EAC">
        <w:trPr>
          <w:trHeight w:val="639"/>
        </w:trPr>
        <w:tc>
          <w:tcPr>
            <w:tcW w:w="844" w:type="dxa"/>
            <w:vAlign w:val="center"/>
          </w:tcPr>
          <w:p w14:paraId="1E033C9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lastRenderedPageBreak/>
              <w:t>54</w:t>
            </w:r>
          </w:p>
        </w:tc>
        <w:tc>
          <w:tcPr>
            <w:tcW w:w="3233" w:type="dxa"/>
            <w:vAlign w:val="center"/>
          </w:tcPr>
          <w:p w14:paraId="7D378CB8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Effect of ileal bile acid transporter inhibitor GSK2330672 on pruritus in primary biliary cholangitis: a double-blind, randomised, placebo-controlled, crossover, phase 2a study</w:t>
            </w:r>
          </w:p>
        </w:tc>
        <w:tc>
          <w:tcPr>
            <w:tcW w:w="1276" w:type="dxa"/>
            <w:vAlign w:val="center"/>
          </w:tcPr>
          <w:p w14:paraId="571E6D52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2017</w:t>
            </w:r>
          </w:p>
        </w:tc>
        <w:tc>
          <w:tcPr>
            <w:tcW w:w="1276" w:type="dxa"/>
            <w:vAlign w:val="center"/>
          </w:tcPr>
          <w:p w14:paraId="4554D40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Hegade, VS</w:t>
            </w:r>
          </w:p>
        </w:tc>
        <w:tc>
          <w:tcPr>
            <w:tcW w:w="1417" w:type="dxa"/>
            <w:vAlign w:val="center"/>
          </w:tcPr>
          <w:p w14:paraId="625615CF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Lancet</w:t>
            </w:r>
          </w:p>
        </w:tc>
        <w:tc>
          <w:tcPr>
            <w:tcW w:w="993" w:type="dxa"/>
            <w:vAlign w:val="center"/>
          </w:tcPr>
          <w:p w14:paraId="1B8F922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86</w:t>
            </w:r>
          </w:p>
        </w:tc>
      </w:tr>
      <w:tr w:rsidR="00151511" w:rsidRPr="00151511" w14:paraId="610438B1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630D904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55</w:t>
            </w:r>
          </w:p>
        </w:tc>
        <w:tc>
          <w:tcPr>
            <w:tcW w:w="3233" w:type="dxa"/>
            <w:vAlign w:val="center"/>
          </w:tcPr>
          <w:p w14:paraId="1A645CF1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The diagnosis of primary biliary cirrhosis</w:t>
            </w:r>
          </w:p>
        </w:tc>
        <w:tc>
          <w:tcPr>
            <w:tcW w:w="1276" w:type="dxa"/>
            <w:vAlign w:val="center"/>
          </w:tcPr>
          <w:p w14:paraId="174E5408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2014</w:t>
            </w:r>
          </w:p>
        </w:tc>
        <w:tc>
          <w:tcPr>
            <w:tcW w:w="1276" w:type="dxa"/>
            <w:vAlign w:val="center"/>
          </w:tcPr>
          <w:p w14:paraId="32FA7F8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Bowlus, CL</w:t>
            </w:r>
          </w:p>
        </w:tc>
        <w:tc>
          <w:tcPr>
            <w:tcW w:w="1417" w:type="dxa"/>
            <w:vAlign w:val="center"/>
          </w:tcPr>
          <w:p w14:paraId="4EFA9ECE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Autoimmun Rev</w:t>
            </w:r>
          </w:p>
        </w:tc>
        <w:tc>
          <w:tcPr>
            <w:tcW w:w="993" w:type="dxa"/>
            <w:vAlign w:val="center"/>
          </w:tcPr>
          <w:p w14:paraId="7FAB12F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95</w:t>
            </w:r>
          </w:p>
        </w:tc>
      </w:tr>
      <w:tr w:rsidR="00151511" w:rsidRPr="00151511" w14:paraId="5F13FEC3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79FFD4C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56</w:t>
            </w:r>
          </w:p>
        </w:tc>
        <w:tc>
          <w:tcPr>
            <w:tcW w:w="3233" w:type="dxa"/>
            <w:vAlign w:val="center"/>
          </w:tcPr>
          <w:p w14:paraId="66921D58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Immunoglobulin M levels inversely correlate with CD40 ligand promoter methylation in patients with primary biliary cirrhosis</w:t>
            </w:r>
          </w:p>
        </w:tc>
        <w:tc>
          <w:tcPr>
            <w:tcW w:w="1276" w:type="dxa"/>
            <w:vAlign w:val="center"/>
          </w:tcPr>
          <w:p w14:paraId="0E7CB760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6193A1C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Lleo, A</w:t>
            </w:r>
          </w:p>
        </w:tc>
        <w:tc>
          <w:tcPr>
            <w:tcW w:w="1417" w:type="dxa"/>
            <w:vAlign w:val="center"/>
          </w:tcPr>
          <w:p w14:paraId="77B17F0B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6F63B49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86</w:t>
            </w:r>
          </w:p>
        </w:tc>
      </w:tr>
      <w:tr w:rsidR="00151511" w:rsidRPr="00151511" w14:paraId="1C943B41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1D216D1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57</w:t>
            </w:r>
          </w:p>
        </w:tc>
        <w:tc>
          <w:tcPr>
            <w:tcW w:w="3233" w:type="dxa"/>
            <w:vAlign w:val="center"/>
          </w:tcPr>
          <w:p w14:paraId="2661B9B5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Autophagy mediates the process of cellular senescence characterizing bile duct damages in primary biliary cirrhosis</w:t>
            </w:r>
          </w:p>
        </w:tc>
        <w:tc>
          <w:tcPr>
            <w:tcW w:w="1276" w:type="dxa"/>
            <w:vAlign w:val="center"/>
          </w:tcPr>
          <w:p w14:paraId="0E1E25C1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359B1E2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Sasaki, M</w:t>
            </w:r>
          </w:p>
        </w:tc>
        <w:tc>
          <w:tcPr>
            <w:tcW w:w="1417" w:type="dxa"/>
            <w:vAlign w:val="center"/>
          </w:tcPr>
          <w:p w14:paraId="1AE08B1F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Lab Invest</w:t>
            </w:r>
          </w:p>
        </w:tc>
        <w:tc>
          <w:tcPr>
            <w:tcW w:w="993" w:type="dxa"/>
            <w:vAlign w:val="center"/>
          </w:tcPr>
          <w:p w14:paraId="3345ECA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86</w:t>
            </w:r>
          </w:p>
        </w:tc>
      </w:tr>
      <w:tr w:rsidR="00151511" w:rsidRPr="00151511" w14:paraId="12933341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7DB1E0C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58</w:t>
            </w:r>
          </w:p>
        </w:tc>
        <w:tc>
          <w:tcPr>
            <w:tcW w:w="3233" w:type="dxa"/>
            <w:vAlign w:val="center"/>
          </w:tcPr>
          <w:p w14:paraId="2C0882DD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Stratification of hepatocellular carcinoma risk in primary biliary cirrhosis: a multicentre international study</w:t>
            </w:r>
          </w:p>
        </w:tc>
        <w:tc>
          <w:tcPr>
            <w:tcW w:w="1276" w:type="dxa"/>
            <w:vAlign w:val="center"/>
          </w:tcPr>
          <w:p w14:paraId="5D91330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 w14:paraId="265F45B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Trivedi, PJ</w:t>
            </w:r>
          </w:p>
        </w:tc>
        <w:tc>
          <w:tcPr>
            <w:tcW w:w="1417" w:type="dxa"/>
            <w:vAlign w:val="center"/>
          </w:tcPr>
          <w:p w14:paraId="30037EB0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Gut</w:t>
            </w:r>
          </w:p>
        </w:tc>
        <w:tc>
          <w:tcPr>
            <w:tcW w:w="993" w:type="dxa"/>
            <w:vAlign w:val="center"/>
          </w:tcPr>
          <w:p w14:paraId="111FF8A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88</w:t>
            </w:r>
          </w:p>
        </w:tc>
      </w:tr>
      <w:tr w:rsidR="00151511" w:rsidRPr="00151511" w14:paraId="2DB041C9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421FF8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59</w:t>
            </w:r>
          </w:p>
        </w:tc>
        <w:tc>
          <w:tcPr>
            <w:tcW w:w="3233" w:type="dxa"/>
            <w:vAlign w:val="center"/>
          </w:tcPr>
          <w:p w14:paraId="1753EF3A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Optimising risk stratification in primary biliary cirrhosis: AST/platelet ratio index predicts outcome independent of ursodeoxycholic acid response</w:t>
            </w:r>
          </w:p>
        </w:tc>
        <w:tc>
          <w:tcPr>
            <w:tcW w:w="1276" w:type="dxa"/>
            <w:vAlign w:val="center"/>
          </w:tcPr>
          <w:p w14:paraId="0A0D451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2014</w:t>
            </w:r>
          </w:p>
        </w:tc>
        <w:tc>
          <w:tcPr>
            <w:tcW w:w="1276" w:type="dxa"/>
            <w:vAlign w:val="center"/>
          </w:tcPr>
          <w:p w14:paraId="3A21102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Trivedi, PJ</w:t>
            </w:r>
          </w:p>
        </w:tc>
        <w:tc>
          <w:tcPr>
            <w:tcW w:w="1417" w:type="dxa"/>
            <w:vAlign w:val="center"/>
          </w:tcPr>
          <w:p w14:paraId="21746402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 w14:paraId="092D660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87</w:t>
            </w:r>
          </w:p>
        </w:tc>
      </w:tr>
      <w:tr w:rsidR="00151511" w:rsidRPr="00151511" w14:paraId="2B0A3D04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5DD87FA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60</w:t>
            </w:r>
          </w:p>
        </w:tc>
        <w:tc>
          <w:tcPr>
            <w:tcW w:w="3233" w:type="dxa"/>
            <w:vAlign w:val="center"/>
          </w:tcPr>
          <w:p w14:paraId="55A710E0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Metabolomic profiling of 17 bile acids in serum from patients with primary biliary cirrhosis and primary sclerosing cholangitis: A pilot study</w:t>
            </w:r>
          </w:p>
        </w:tc>
        <w:tc>
          <w:tcPr>
            <w:tcW w:w="1276" w:type="dxa"/>
            <w:vAlign w:val="center"/>
          </w:tcPr>
          <w:p w14:paraId="053F32FA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64934CE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Trottier, J</w:t>
            </w:r>
          </w:p>
        </w:tc>
        <w:tc>
          <w:tcPr>
            <w:tcW w:w="1417" w:type="dxa"/>
            <w:vAlign w:val="center"/>
          </w:tcPr>
          <w:p w14:paraId="01F92617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Digest Liver Dis</w:t>
            </w:r>
          </w:p>
        </w:tc>
        <w:tc>
          <w:tcPr>
            <w:tcW w:w="993" w:type="dxa"/>
            <w:vAlign w:val="center"/>
          </w:tcPr>
          <w:p w14:paraId="4E36E55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81</w:t>
            </w:r>
          </w:p>
        </w:tc>
      </w:tr>
      <w:tr w:rsidR="00151511" w:rsidRPr="00151511" w14:paraId="483C05D2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42D3823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61</w:t>
            </w:r>
          </w:p>
        </w:tc>
        <w:tc>
          <w:tcPr>
            <w:tcW w:w="3233" w:type="dxa"/>
            <w:vAlign w:val="center"/>
          </w:tcPr>
          <w:p w14:paraId="473767EC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Interaction Between Toll-Like Receptors and Natural Killer Cells in the Destruction of Bile Ducts in Primary Biliary Cirrhosis</w:t>
            </w:r>
          </w:p>
        </w:tc>
        <w:tc>
          <w:tcPr>
            <w:tcW w:w="1276" w:type="dxa"/>
            <w:vAlign w:val="center"/>
          </w:tcPr>
          <w:p w14:paraId="339AB0D0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 w14:paraId="507DDA8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Shimoda, S</w:t>
            </w:r>
          </w:p>
        </w:tc>
        <w:tc>
          <w:tcPr>
            <w:tcW w:w="1417" w:type="dxa"/>
            <w:vAlign w:val="center"/>
          </w:tcPr>
          <w:p w14:paraId="0734508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7D01C6F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84</w:t>
            </w:r>
          </w:p>
        </w:tc>
      </w:tr>
      <w:tr w:rsidR="00151511" w:rsidRPr="00151511" w14:paraId="4878A608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41B8136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62</w:t>
            </w:r>
          </w:p>
        </w:tc>
        <w:tc>
          <w:tcPr>
            <w:tcW w:w="3233" w:type="dxa"/>
            <w:vAlign w:val="center"/>
          </w:tcPr>
          <w:p w14:paraId="4DCCD5D1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Novel therapeutic targets in primary biliary cirrhosis</w:t>
            </w:r>
          </w:p>
        </w:tc>
        <w:tc>
          <w:tcPr>
            <w:tcW w:w="1276" w:type="dxa"/>
            <w:vAlign w:val="center"/>
          </w:tcPr>
          <w:p w14:paraId="4633A1BF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 w14:paraId="45D0E8A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Dyson, JK</w:t>
            </w:r>
          </w:p>
        </w:tc>
        <w:tc>
          <w:tcPr>
            <w:tcW w:w="1417" w:type="dxa"/>
            <w:vAlign w:val="center"/>
          </w:tcPr>
          <w:p w14:paraId="7A7A982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Nat Rev Gastro Hepat</w:t>
            </w:r>
          </w:p>
        </w:tc>
        <w:tc>
          <w:tcPr>
            <w:tcW w:w="993" w:type="dxa"/>
            <w:vAlign w:val="center"/>
          </w:tcPr>
          <w:p w14:paraId="4C2BD43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80</w:t>
            </w:r>
          </w:p>
        </w:tc>
      </w:tr>
      <w:tr w:rsidR="00151511" w:rsidRPr="00151511" w14:paraId="4A336883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5786644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63</w:t>
            </w:r>
          </w:p>
        </w:tc>
        <w:tc>
          <w:tcPr>
            <w:tcW w:w="3233" w:type="dxa"/>
            <w:vAlign w:val="center"/>
          </w:tcPr>
          <w:p w14:paraId="59C132A2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The British Society of Gastroenterology/UK-PBC primary biliary cholangitis treatment and management guidelines</w:t>
            </w:r>
          </w:p>
        </w:tc>
        <w:tc>
          <w:tcPr>
            <w:tcW w:w="1276" w:type="dxa"/>
            <w:vAlign w:val="center"/>
          </w:tcPr>
          <w:p w14:paraId="63C057F3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2018</w:t>
            </w:r>
          </w:p>
        </w:tc>
        <w:tc>
          <w:tcPr>
            <w:tcW w:w="1276" w:type="dxa"/>
            <w:vAlign w:val="center"/>
          </w:tcPr>
          <w:p w14:paraId="64FB031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 w14:paraId="0CB2157F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Gut</w:t>
            </w:r>
          </w:p>
        </w:tc>
        <w:tc>
          <w:tcPr>
            <w:tcW w:w="993" w:type="dxa"/>
            <w:vAlign w:val="center"/>
          </w:tcPr>
          <w:p w14:paraId="26EF6CF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86</w:t>
            </w:r>
          </w:p>
        </w:tc>
      </w:tr>
      <w:tr w:rsidR="00151511" w:rsidRPr="00151511" w14:paraId="55692B17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13D594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lastRenderedPageBreak/>
              <w:t>64</w:t>
            </w:r>
          </w:p>
        </w:tc>
        <w:tc>
          <w:tcPr>
            <w:tcW w:w="3233" w:type="dxa"/>
            <w:vAlign w:val="center"/>
          </w:tcPr>
          <w:p w14:paraId="1997FEDF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Changing nomenclature for PBC: From cirrhosis' to cholangitis'</w:t>
            </w:r>
          </w:p>
        </w:tc>
        <w:tc>
          <w:tcPr>
            <w:tcW w:w="1276" w:type="dxa"/>
            <w:vAlign w:val="center"/>
          </w:tcPr>
          <w:p w14:paraId="77197C50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 w14:paraId="27C2F7F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Beuers, U</w:t>
            </w:r>
          </w:p>
        </w:tc>
        <w:tc>
          <w:tcPr>
            <w:tcW w:w="1417" w:type="dxa"/>
            <w:vAlign w:val="center"/>
          </w:tcPr>
          <w:p w14:paraId="7DAF453F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48007A8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79</w:t>
            </w:r>
          </w:p>
        </w:tc>
      </w:tr>
      <w:tr w:rsidR="00151511" w:rsidRPr="00151511" w14:paraId="78BEBD32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EA6E4F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65</w:t>
            </w:r>
          </w:p>
        </w:tc>
        <w:tc>
          <w:tcPr>
            <w:tcW w:w="3233" w:type="dxa"/>
            <w:vAlign w:val="center"/>
          </w:tcPr>
          <w:p w14:paraId="23AB1992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The immunogenetics of primary biliary cirrhosis: A comprehensive review</w:t>
            </w:r>
          </w:p>
        </w:tc>
        <w:tc>
          <w:tcPr>
            <w:tcW w:w="1276" w:type="dxa"/>
            <w:vAlign w:val="center"/>
          </w:tcPr>
          <w:p w14:paraId="7600CC34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 w14:paraId="17A6E2C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Webb, GJ</w:t>
            </w:r>
          </w:p>
        </w:tc>
        <w:tc>
          <w:tcPr>
            <w:tcW w:w="1417" w:type="dxa"/>
            <w:vAlign w:val="center"/>
          </w:tcPr>
          <w:p w14:paraId="78559CF7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 w14:paraId="077398E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77</w:t>
            </w:r>
          </w:p>
        </w:tc>
      </w:tr>
      <w:tr w:rsidR="00151511" w:rsidRPr="00151511" w14:paraId="1DED7DCD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486D261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66</w:t>
            </w:r>
          </w:p>
        </w:tc>
        <w:tc>
          <w:tcPr>
            <w:tcW w:w="3233" w:type="dxa"/>
            <w:vAlign w:val="center"/>
          </w:tcPr>
          <w:p w14:paraId="1E5B3505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Extrahepatic Autoimmune Conditions Associated with Primary Biliary Cirrhosis</w:t>
            </w:r>
          </w:p>
        </w:tc>
        <w:tc>
          <w:tcPr>
            <w:tcW w:w="1276" w:type="dxa"/>
            <w:vAlign w:val="center"/>
          </w:tcPr>
          <w:p w14:paraId="2C0DD38A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 w14:paraId="29791CF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Floreani, A</w:t>
            </w:r>
          </w:p>
        </w:tc>
        <w:tc>
          <w:tcPr>
            <w:tcW w:w="1417" w:type="dxa"/>
            <w:vAlign w:val="center"/>
          </w:tcPr>
          <w:p w14:paraId="2659F72B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Clin Rev Allerg Immu</w:t>
            </w:r>
          </w:p>
        </w:tc>
        <w:tc>
          <w:tcPr>
            <w:tcW w:w="993" w:type="dxa"/>
            <w:vAlign w:val="center"/>
          </w:tcPr>
          <w:p w14:paraId="646BFD9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80</w:t>
            </w:r>
          </w:p>
        </w:tc>
      </w:tr>
      <w:tr w:rsidR="00151511" w:rsidRPr="00151511" w14:paraId="09A2787F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AFFEE6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67</w:t>
            </w:r>
          </w:p>
        </w:tc>
        <w:tc>
          <w:tcPr>
            <w:tcW w:w="3233" w:type="dxa"/>
            <w:vAlign w:val="center"/>
          </w:tcPr>
          <w:p w14:paraId="076A93FB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CXCR5(+) CD4(+) T Follicular Helper Cells Participate in the Pathogenesis of Primary Biliary Cirrhosis</w:t>
            </w:r>
          </w:p>
        </w:tc>
        <w:tc>
          <w:tcPr>
            <w:tcW w:w="1276" w:type="dxa"/>
            <w:vAlign w:val="center"/>
          </w:tcPr>
          <w:p w14:paraId="1EBBC97F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 w14:paraId="252DC14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Wang, LF</w:t>
            </w:r>
          </w:p>
        </w:tc>
        <w:tc>
          <w:tcPr>
            <w:tcW w:w="1417" w:type="dxa"/>
            <w:vAlign w:val="center"/>
          </w:tcPr>
          <w:p w14:paraId="675CF78A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74916A2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78</w:t>
            </w:r>
          </w:p>
        </w:tc>
      </w:tr>
      <w:tr w:rsidR="00151511" w:rsidRPr="00151511" w14:paraId="7E573370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8F54C4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68</w:t>
            </w:r>
          </w:p>
        </w:tc>
        <w:tc>
          <w:tcPr>
            <w:tcW w:w="3233" w:type="dxa"/>
            <w:vAlign w:val="center"/>
          </w:tcPr>
          <w:p w14:paraId="357BCC62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Primary binary cirrhosis and Sjogren's syndrome: Autoimmune epithelitis</w:t>
            </w:r>
          </w:p>
        </w:tc>
        <w:tc>
          <w:tcPr>
            <w:tcW w:w="1276" w:type="dxa"/>
            <w:vAlign w:val="center"/>
          </w:tcPr>
          <w:p w14:paraId="695C92DB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1F7AD1C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Selmi, C</w:t>
            </w:r>
          </w:p>
        </w:tc>
        <w:tc>
          <w:tcPr>
            <w:tcW w:w="1417" w:type="dxa"/>
            <w:vAlign w:val="center"/>
          </w:tcPr>
          <w:p w14:paraId="45CF4AB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 w14:paraId="3C720C8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86</w:t>
            </w:r>
          </w:p>
        </w:tc>
      </w:tr>
      <w:tr w:rsidR="00151511" w:rsidRPr="00151511" w14:paraId="71A97092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725D49D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69</w:t>
            </w:r>
          </w:p>
        </w:tc>
        <w:tc>
          <w:tcPr>
            <w:tcW w:w="3233" w:type="dxa"/>
            <w:vAlign w:val="center"/>
          </w:tcPr>
          <w:p w14:paraId="7FE5D9F9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Effect of ursodeoxycholic acid on bile acid profiles and intestinal detoxification machinery in primary biliary cirrhosis and health</w:t>
            </w:r>
          </w:p>
        </w:tc>
        <w:tc>
          <w:tcPr>
            <w:tcW w:w="1276" w:type="dxa"/>
            <w:vAlign w:val="center"/>
          </w:tcPr>
          <w:p w14:paraId="2FE819D2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76336A9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Dilger, K</w:t>
            </w:r>
          </w:p>
        </w:tc>
        <w:tc>
          <w:tcPr>
            <w:tcW w:w="1417" w:type="dxa"/>
            <w:vAlign w:val="center"/>
          </w:tcPr>
          <w:p w14:paraId="2D8C68B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 w14:paraId="7E99E9C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76</w:t>
            </w:r>
          </w:p>
        </w:tc>
      </w:tr>
      <w:tr w:rsidR="00151511" w:rsidRPr="00151511" w14:paraId="371B9574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0C507A9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70</w:t>
            </w:r>
          </w:p>
        </w:tc>
        <w:tc>
          <w:tcPr>
            <w:tcW w:w="3233" w:type="dxa"/>
            <w:vAlign w:val="center"/>
          </w:tcPr>
          <w:p w14:paraId="067CB055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Therapeutic Effect of Cytotoxic T Lymphocyte Antigen 4/Immunoglobulin on a Murine Model of Primary Biliary Cirrhosis</w:t>
            </w:r>
          </w:p>
        </w:tc>
        <w:tc>
          <w:tcPr>
            <w:tcW w:w="1276" w:type="dxa"/>
            <w:vAlign w:val="center"/>
          </w:tcPr>
          <w:p w14:paraId="78855171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 w14:paraId="2D924E7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Dhirapong, A</w:t>
            </w:r>
          </w:p>
        </w:tc>
        <w:tc>
          <w:tcPr>
            <w:tcW w:w="1417" w:type="dxa"/>
            <w:vAlign w:val="center"/>
          </w:tcPr>
          <w:p w14:paraId="60D91328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02C0BCE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75</w:t>
            </w:r>
          </w:p>
        </w:tc>
      </w:tr>
      <w:tr w:rsidR="00151511" w:rsidRPr="00151511" w14:paraId="026AE420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8414B1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71</w:t>
            </w:r>
          </w:p>
        </w:tc>
        <w:tc>
          <w:tcPr>
            <w:tcW w:w="3233" w:type="dxa"/>
            <w:vAlign w:val="center"/>
          </w:tcPr>
          <w:p w14:paraId="3BE9F0C5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Disease-specific autoantibodies in primary biliary cirrhosis</w:t>
            </w:r>
          </w:p>
        </w:tc>
        <w:tc>
          <w:tcPr>
            <w:tcW w:w="1276" w:type="dxa"/>
            <w:vAlign w:val="center"/>
          </w:tcPr>
          <w:p w14:paraId="18C67961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 w14:paraId="112B407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Bogdanos, DP</w:t>
            </w:r>
          </w:p>
        </w:tc>
        <w:tc>
          <w:tcPr>
            <w:tcW w:w="1417" w:type="dxa"/>
            <w:vAlign w:val="center"/>
          </w:tcPr>
          <w:p w14:paraId="435551A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Clin Chim Acta</w:t>
            </w:r>
          </w:p>
        </w:tc>
        <w:tc>
          <w:tcPr>
            <w:tcW w:w="993" w:type="dxa"/>
            <w:vAlign w:val="center"/>
          </w:tcPr>
          <w:p w14:paraId="3B2B2D0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76</w:t>
            </w:r>
          </w:p>
        </w:tc>
      </w:tr>
      <w:tr w:rsidR="00151511" w:rsidRPr="00151511" w14:paraId="5DE57897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59BE41C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72</w:t>
            </w:r>
          </w:p>
        </w:tc>
        <w:tc>
          <w:tcPr>
            <w:tcW w:w="3233" w:type="dxa"/>
            <w:vAlign w:val="center"/>
          </w:tcPr>
          <w:p w14:paraId="72EEDBFE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Bezafibrate normalizes alkaline phosphatase in primary biliary cirrhosis patients with incomplete response to ursodeoxycholic acid</w:t>
            </w:r>
          </w:p>
        </w:tc>
        <w:tc>
          <w:tcPr>
            <w:tcW w:w="1276" w:type="dxa"/>
            <w:vAlign w:val="center"/>
          </w:tcPr>
          <w:p w14:paraId="507A888C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2014</w:t>
            </w:r>
          </w:p>
        </w:tc>
        <w:tc>
          <w:tcPr>
            <w:tcW w:w="1276" w:type="dxa"/>
            <w:vAlign w:val="center"/>
          </w:tcPr>
          <w:p w14:paraId="07D544A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Lens, S</w:t>
            </w:r>
          </w:p>
        </w:tc>
        <w:tc>
          <w:tcPr>
            <w:tcW w:w="1417" w:type="dxa"/>
            <w:vAlign w:val="center"/>
          </w:tcPr>
          <w:p w14:paraId="1BB722FE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Liver Int</w:t>
            </w:r>
          </w:p>
        </w:tc>
        <w:tc>
          <w:tcPr>
            <w:tcW w:w="993" w:type="dxa"/>
            <w:vAlign w:val="center"/>
          </w:tcPr>
          <w:p w14:paraId="5BC634D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73</w:t>
            </w:r>
          </w:p>
        </w:tc>
      </w:tr>
      <w:tr w:rsidR="00151511" w:rsidRPr="00151511" w14:paraId="3641F3E8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47500EF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73</w:t>
            </w:r>
          </w:p>
        </w:tc>
        <w:tc>
          <w:tcPr>
            <w:tcW w:w="3233" w:type="dxa"/>
            <w:vAlign w:val="center"/>
          </w:tcPr>
          <w:p w14:paraId="655A4ECD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B-Cell Depletion With Rituximab in Patients With Primary Biliary Cirrhosis Refractory to Ursodeoxycholic Acid</w:t>
            </w:r>
          </w:p>
        </w:tc>
        <w:tc>
          <w:tcPr>
            <w:tcW w:w="1276" w:type="dxa"/>
            <w:vAlign w:val="center"/>
          </w:tcPr>
          <w:p w14:paraId="548DF619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 w14:paraId="6526FEF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Myers, RP</w:t>
            </w:r>
          </w:p>
        </w:tc>
        <w:tc>
          <w:tcPr>
            <w:tcW w:w="1417" w:type="dxa"/>
            <w:vAlign w:val="center"/>
          </w:tcPr>
          <w:p w14:paraId="240F1F92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Am J Gastroenterol</w:t>
            </w:r>
          </w:p>
        </w:tc>
        <w:tc>
          <w:tcPr>
            <w:tcW w:w="993" w:type="dxa"/>
            <w:vAlign w:val="center"/>
          </w:tcPr>
          <w:p w14:paraId="733AEA7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71</w:t>
            </w:r>
          </w:p>
        </w:tc>
      </w:tr>
      <w:tr w:rsidR="00151511" w:rsidRPr="00151511" w14:paraId="03AB8973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1B36DDE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74</w:t>
            </w:r>
          </w:p>
        </w:tc>
        <w:tc>
          <w:tcPr>
            <w:tcW w:w="3233" w:type="dxa"/>
            <w:vAlign w:val="center"/>
          </w:tcPr>
          <w:p w14:paraId="22ECB45A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 xml:space="preserve">Deletion of Interleukin (IL)-12p35 Induces Liver Fibrosis in Dominant-Negative TGF beta Receptor Type II </w:t>
            </w:r>
            <w:r w:rsidRPr="00151511">
              <w:rPr>
                <w:rFonts w:eastAsia="宋体" w:cs="Times New Roman"/>
                <w:sz w:val="20"/>
                <w:szCs w:val="20"/>
              </w:rPr>
              <w:lastRenderedPageBreak/>
              <w:t>Mice</w:t>
            </w:r>
          </w:p>
        </w:tc>
        <w:tc>
          <w:tcPr>
            <w:tcW w:w="1276" w:type="dxa"/>
            <w:vAlign w:val="center"/>
          </w:tcPr>
          <w:p w14:paraId="6DCF9FB5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lastRenderedPageBreak/>
              <w:t>2013</w:t>
            </w:r>
          </w:p>
        </w:tc>
        <w:tc>
          <w:tcPr>
            <w:tcW w:w="1276" w:type="dxa"/>
            <w:vAlign w:val="center"/>
          </w:tcPr>
          <w:p w14:paraId="512ED9B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Tsuda, M</w:t>
            </w:r>
          </w:p>
        </w:tc>
        <w:tc>
          <w:tcPr>
            <w:tcW w:w="1417" w:type="dxa"/>
            <w:vAlign w:val="center"/>
          </w:tcPr>
          <w:p w14:paraId="0D64129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5329BFAF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73</w:t>
            </w:r>
          </w:p>
        </w:tc>
      </w:tr>
      <w:tr w:rsidR="00151511" w:rsidRPr="00151511" w14:paraId="39192C92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66C4B15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lastRenderedPageBreak/>
              <w:t>75</w:t>
            </w:r>
          </w:p>
        </w:tc>
        <w:tc>
          <w:tcPr>
            <w:tcW w:w="3233" w:type="dxa"/>
            <w:vAlign w:val="center"/>
          </w:tcPr>
          <w:p w14:paraId="22D3D855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Innate Immunity and Primary Biliary Cirrhosis: Activated Invariant Natural Killer T Cells Exacerbate Murine Autoimmune Cholangitis and Fibrosis</w:t>
            </w:r>
          </w:p>
        </w:tc>
        <w:tc>
          <w:tcPr>
            <w:tcW w:w="1276" w:type="dxa"/>
            <w:vAlign w:val="center"/>
          </w:tcPr>
          <w:p w14:paraId="341EEF2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76" w:type="dxa"/>
            <w:vAlign w:val="center"/>
          </w:tcPr>
          <w:p w14:paraId="21CA50F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Wu, SJ</w:t>
            </w:r>
          </w:p>
        </w:tc>
        <w:tc>
          <w:tcPr>
            <w:tcW w:w="1417" w:type="dxa"/>
            <w:vAlign w:val="center"/>
          </w:tcPr>
          <w:p w14:paraId="6990CF5F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73705FD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74</w:t>
            </w:r>
          </w:p>
        </w:tc>
      </w:tr>
      <w:tr w:rsidR="00151511" w:rsidRPr="00151511" w14:paraId="38B42160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15CFADB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76</w:t>
            </w:r>
          </w:p>
        </w:tc>
        <w:tc>
          <w:tcPr>
            <w:tcW w:w="3233" w:type="dxa"/>
            <w:vAlign w:val="center"/>
          </w:tcPr>
          <w:p w14:paraId="5B48F730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B-Cell Depletion with Anti-CD20 Ameliorates Autoimmune Cholangitis but Exacerbates Colitis in Transforming Growth Factor-beta Receptor II Dominant Negative Mice</w:t>
            </w:r>
          </w:p>
        </w:tc>
        <w:tc>
          <w:tcPr>
            <w:tcW w:w="1276" w:type="dxa"/>
            <w:vAlign w:val="center"/>
          </w:tcPr>
          <w:p w14:paraId="193FC9E0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3F305D4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Moritoki, Y</w:t>
            </w:r>
          </w:p>
        </w:tc>
        <w:tc>
          <w:tcPr>
            <w:tcW w:w="1417" w:type="dxa"/>
            <w:vAlign w:val="center"/>
          </w:tcPr>
          <w:p w14:paraId="3D76805F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06279CB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73</w:t>
            </w:r>
          </w:p>
        </w:tc>
      </w:tr>
      <w:tr w:rsidR="00151511" w:rsidRPr="00151511" w14:paraId="7C8F6735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7171343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77</w:t>
            </w:r>
          </w:p>
        </w:tc>
        <w:tc>
          <w:tcPr>
            <w:tcW w:w="3233" w:type="dxa"/>
            <w:vAlign w:val="center"/>
          </w:tcPr>
          <w:p w14:paraId="1EEE1C98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Ustekinumab for Patients With Primary Biliary Cholangitis Who Have an Inadequate Response to Ursodeoxycholic Acid: A Proof-of-Concept Study</w:t>
            </w:r>
          </w:p>
        </w:tc>
        <w:tc>
          <w:tcPr>
            <w:tcW w:w="1276" w:type="dxa"/>
            <w:vAlign w:val="center"/>
          </w:tcPr>
          <w:p w14:paraId="2FCBC69E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 w14:paraId="378F553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Hirschfield, GM</w:t>
            </w:r>
          </w:p>
        </w:tc>
        <w:tc>
          <w:tcPr>
            <w:tcW w:w="1417" w:type="dxa"/>
            <w:vAlign w:val="center"/>
          </w:tcPr>
          <w:p w14:paraId="10C60E0F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1916037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73</w:t>
            </w:r>
          </w:p>
        </w:tc>
      </w:tr>
      <w:tr w:rsidR="00151511" w:rsidRPr="00151511" w14:paraId="2755D24F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247755F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78</w:t>
            </w:r>
          </w:p>
        </w:tc>
        <w:tc>
          <w:tcPr>
            <w:tcW w:w="3233" w:type="dxa"/>
            <w:vAlign w:val="center"/>
          </w:tcPr>
          <w:p w14:paraId="1128B16E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New simple prognostic score for primary biliary cirrhosis: Albumin-bilirubin score</w:t>
            </w:r>
          </w:p>
        </w:tc>
        <w:tc>
          <w:tcPr>
            <w:tcW w:w="1276" w:type="dxa"/>
            <w:vAlign w:val="center"/>
          </w:tcPr>
          <w:p w14:paraId="612B893F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  <w:vAlign w:val="center"/>
          </w:tcPr>
          <w:p w14:paraId="5E3D303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Chan, AWH</w:t>
            </w:r>
          </w:p>
        </w:tc>
        <w:tc>
          <w:tcPr>
            <w:tcW w:w="1417" w:type="dxa"/>
            <w:vAlign w:val="center"/>
          </w:tcPr>
          <w:p w14:paraId="6C70AC1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Gastroen Hepatol</w:t>
            </w:r>
          </w:p>
        </w:tc>
        <w:tc>
          <w:tcPr>
            <w:tcW w:w="993" w:type="dxa"/>
            <w:vAlign w:val="center"/>
          </w:tcPr>
          <w:p w14:paraId="3987BC7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75</w:t>
            </w:r>
          </w:p>
        </w:tc>
      </w:tr>
      <w:tr w:rsidR="00151511" w:rsidRPr="00151511" w14:paraId="0628DDB8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2271F99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79</w:t>
            </w:r>
          </w:p>
        </w:tc>
        <w:tc>
          <w:tcPr>
            <w:tcW w:w="3233" w:type="dxa"/>
            <w:vAlign w:val="center"/>
          </w:tcPr>
          <w:p w14:paraId="097FF37D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Low Bone Mass and Severity of Cholestasis Affect Fracture Risk in Patients With Primary Biliary Cirrhosis</w:t>
            </w:r>
          </w:p>
        </w:tc>
        <w:tc>
          <w:tcPr>
            <w:tcW w:w="1276" w:type="dxa"/>
            <w:vAlign w:val="center"/>
          </w:tcPr>
          <w:p w14:paraId="0CACC4A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5B00DDA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Guanabens, N</w:t>
            </w:r>
          </w:p>
        </w:tc>
        <w:tc>
          <w:tcPr>
            <w:tcW w:w="1417" w:type="dxa"/>
            <w:vAlign w:val="center"/>
          </w:tcPr>
          <w:p w14:paraId="4B446F91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 w14:paraId="1B78D8F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74</w:t>
            </w:r>
          </w:p>
        </w:tc>
      </w:tr>
      <w:tr w:rsidR="00151511" w:rsidRPr="00151511" w14:paraId="3AE999A9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68CE88B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80</w:t>
            </w:r>
          </w:p>
        </w:tc>
        <w:tc>
          <w:tcPr>
            <w:tcW w:w="3233" w:type="dxa"/>
            <w:vAlign w:val="center"/>
          </w:tcPr>
          <w:p w14:paraId="566019D7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Vitamin D receptor polymorphisms are associated with increased susceptibility to primary biliary cirrhosis in Japanese and Italian populations</w:t>
            </w:r>
          </w:p>
        </w:tc>
        <w:tc>
          <w:tcPr>
            <w:tcW w:w="1276" w:type="dxa"/>
            <w:vAlign w:val="center"/>
          </w:tcPr>
          <w:p w14:paraId="3FCC37E1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1888865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Tanaka, A</w:t>
            </w:r>
          </w:p>
        </w:tc>
        <w:tc>
          <w:tcPr>
            <w:tcW w:w="1417" w:type="dxa"/>
            <w:vAlign w:val="center"/>
          </w:tcPr>
          <w:p w14:paraId="4897462C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Hepatol</w:t>
            </w:r>
          </w:p>
        </w:tc>
        <w:tc>
          <w:tcPr>
            <w:tcW w:w="993" w:type="dxa"/>
            <w:vAlign w:val="center"/>
          </w:tcPr>
          <w:p w14:paraId="6E6BDC2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71</w:t>
            </w:r>
          </w:p>
        </w:tc>
      </w:tr>
      <w:tr w:rsidR="00151511" w:rsidRPr="00151511" w14:paraId="4AF06019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2EB8CBF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81</w:t>
            </w:r>
          </w:p>
        </w:tc>
        <w:tc>
          <w:tcPr>
            <w:tcW w:w="3233" w:type="dxa"/>
            <w:vAlign w:val="center"/>
          </w:tcPr>
          <w:p w14:paraId="0275F8A9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 comprehensive evaluation of serum autoantibodies in primary biliary cirrhosis</w:t>
            </w:r>
          </w:p>
        </w:tc>
        <w:tc>
          <w:tcPr>
            <w:tcW w:w="1276" w:type="dxa"/>
            <w:vAlign w:val="center"/>
          </w:tcPr>
          <w:p w14:paraId="02D11FC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2BBCA12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Agmon-Levin, N</w:t>
            </w:r>
          </w:p>
        </w:tc>
        <w:tc>
          <w:tcPr>
            <w:tcW w:w="1417" w:type="dxa"/>
            <w:vAlign w:val="center"/>
          </w:tcPr>
          <w:p w14:paraId="7E7E7AA5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 w14:paraId="55341AA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72</w:t>
            </w:r>
          </w:p>
        </w:tc>
      </w:tr>
      <w:tr w:rsidR="00151511" w:rsidRPr="00151511" w14:paraId="57DCB6A6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02A3859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82</w:t>
            </w:r>
          </w:p>
        </w:tc>
        <w:tc>
          <w:tcPr>
            <w:tcW w:w="3233" w:type="dxa"/>
            <w:vAlign w:val="center"/>
          </w:tcPr>
          <w:p w14:paraId="5648918D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Deficiency in Regulatory T Cells Results in Development of Antimitochondrial Antibodies and Autoimmune Cholangitis</w:t>
            </w:r>
          </w:p>
        </w:tc>
        <w:tc>
          <w:tcPr>
            <w:tcW w:w="1276" w:type="dxa"/>
            <w:vAlign w:val="center"/>
          </w:tcPr>
          <w:p w14:paraId="3904A1B2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01BC017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Zhang, WC</w:t>
            </w:r>
          </w:p>
        </w:tc>
        <w:tc>
          <w:tcPr>
            <w:tcW w:w="1417" w:type="dxa"/>
            <w:vAlign w:val="center"/>
          </w:tcPr>
          <w:p w14:paraId="2491A107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01DB5F1E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71</w:t>
            </w:r>
          </w:p>
        </w:tc>
      </w:tr>
      <w:tr w:rsidR="00151511" w:rsidRPr="00151511" w14:paraId="09B06641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4957D35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83</w:t>
            </w:r>
          </w:p>
        </w:tc>
        <w:tc>
          <w:tcPr>
            <w:tcW w:w="3233" w:type="dxa"/>
            <w:vAlign w:val="center"/>
          </w:tcPr>
          <w:p w14:paraId="4953F465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Activation of necroptosis in human and experimental cholestasis</w:t>
            </w:r>
          </w:p>
        </w:tc>
        <w:tc>
          <w:tcPr>
            <w:tcW w:w="1276" w:type="dxa"/>
            <w:vAlign w:val="center"/>
          </w:tcPr>
          <w:p w14:paraId="34D39238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 w14:paraId="339D4BC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Afonso, MB</w:t>
            </w:r>
          </w:p>
        </w:tc>
        <w:tc>
          <w:tcPr>
            <w:tcW w:w="1417" w:type="dxa"/>
            <w:vAlign w:val="center"/>
          </w:tcPr>
          <w:p w14:paraId="3470FE8A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Cell Death Dis</w:t>
            </w:r>
          </w:p>
        </w:tc>
        <w:tc>
          <w:tcPr>
            <w:tcW w:w="993" w:type="dxa"/>
            <w:vAlign w:val="center"/>
          </w:tcPr>
          <w:p w14:paraId="6DE1C78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68</w:t>
            </w:r>
          </w:p>
        </w:tc>
      </w:tr>
      <w:tr w:rsidR="00151511" w:rsidRPr="00151511" w14:paraId="22333369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4F4F87C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lastRenderedPageBreak/>
              <w:t>84</w:t>
            </w:r>
          </w:p>
        </w:tc>
        <w:tc>
          <w:tcPr>
            <w:tcW w:w="3233" w:type="dxa"/>
            <w:vAlign w:val="center"/>
          </w:tcPr>
          <w:p w14:paraId="3918D807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Evolving Trends in Female to Male Incidence and Male Mortality of Primary Biliary Cholangitis</w:t>
            </w:r>
          </w:p>
        </w:tc>
        <w:tc>
          <w:tcPr>
            <w:tcW w:w="1276" w:type="dxa"/>
            <w:vAlign w:val="center"/>
          </w:tcPr>
          <w:p w14:paraId="09244C41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 w14:paraId="508E069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Lleo, A</w:t>
            </w:r>
          </w:p>
        </w:tc>
        <w:tc>
          <w:tcPr>
            <w:tcW w:w="1417" w:type="dxa"/>
            <w:vAlign w:val="center"/>
          </w:tcPr>
          <w:p w14:paraId="739EE847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Sci Rep-Uk</w:t>
            </w:r>
          </w:p>
        </w:tc>
        <w:tc>
          <w:tcPr>
            <w:tcW w:w="993" w:type="dxa"/>
            <w:vAlign w:val="center"/>
          </w:tcPr>
          <w:p w14:paraId="3241D27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66</w:t>
            </w:r>
          </w:p>
        </w:tc>
      </w:tr>
      <w:tr w:rsidR="00151511" w:rsidRPr="00151511" w14:paraId="21883EBD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21480E6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85</w:t>
            </w:r>
          </w:p>
        </w:tc>
        <w:tc>
          <w:tcPr>
            <w:tcW w:w="3233" w:type="dxa"/>
            <w:vAlign w:val="center"/>
          </w:tcPr>
          <w:p w14:paraId="645C3A6F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Y chromosome loss in male patients with primary biliary cirrhosis</w:t>
            </w:r>
          </w:p>
        </w:tc>
        <w:tc>
          <w:tcPr>
            <w:tcW w:w="1276" w:type="dxa"/>
            <w:vAlign w:val="center"/>
          </w:tcPr>
          <w:p w14:paraId="413AB20E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 w14:paraId="03CD94F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Lleo, A</w:t>
            </w:r>
          </w:p>
        </w:tc>
        <w:tc>
          <w:tcPr>
            <w:tcW w:w="1417" w:type="dxa"/>
            <w:vAlign w:val="center"/>
          </w:tcPr>
          <w:p w14:paraId="00D94F7B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Autoimmun</w:t>
            </w:r>
          </w:p>
        </w:tc>
        <w:tc>
          <w:tcPr>
            <w:tcW w:w="993" w:type="dxa"/>
            <w:vAlign w:val="center"/>
          </w:tcPr>
          <w:p w14:paraId="2BCAE38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66</w:t>
            </w:r>
          </w:p>
        </w:tc>
      </w:tr>
      <w:tr w:rsidR="00151511" w:rsidRPr="00151511" w14:paraId="7432023F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02DBA59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86</w:t>
            </w:r>
          </w:p>
        </w:tc>
        <w:tc>
          <w:tcPr>
            <w:tcW w:w="3233" w:type="dxa"/>
            <w:vAlign w:val="center"/>
          </w:tcPr>
          <w:p w14:paraId="3F6BD07B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Identification of New Autoantigens for Primary Biliary Cirrhosis Using Human Proteome Microarrays</w:t>
            </w:r>
          </w:p>
        </w:tc>
        <w:tc>
          <w:tcPr>
            <w:tcW w:w="1276" w:type="dxa"/>
            <w:vAlign w:val="center"/>
          </w:tcPr>
          <w:p w14:paraId="2629D93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2E7FC41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Hu, CJ</w:t>
            </w:r>
          </w:p>
        </w:tc>
        <w:tc>
          <w:tcPr>
            <w:tcW w:w="1417" w:type="dxa"/>
            <w:vAlign w:val="center"/>
          </w:tcPr>
          <w:p w14:paraId="76927268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Mol Cell Proteomics</w:t>
            </w:r>
          </w:p>
        </w:tc>
        <w:tc>
          <w:tcPr>
            <w:tcW w:w="993" w:type="dxa"/>
            <w:vAlign w:val="center"/>
          </w:tcPr>
          <w:p w14:paraId="6B3BE7A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71</w:t>
            </w:r>
          </w:p>
        </w:tc>
      </w:tr>
      <w:tr w:rsidR="00151511" w:rsidRPr="00151511" w14:paraId="45311291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D8D275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87</w:t>
            </w:r>
          </w:p>
        </w:tc>
        <w:tc>
          <w:tcPr>
            <w:tcW w:w="3233" w:type="dxa"/>
            <w:vAlign w:val="center"/>
          </w:tcPr>
          <w:p w14:paraId="6B2B2991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Ursodeoxycholic acid for primary biliary cirrhosis</w:t>
            </w:r>
          </w:p>
        </w:tc>
        <w:tc>
          <w:tcPr>
            <w:tcW w:w="1276" w:type="dxa"/>
            <w:vAlign w:val="center"/>
          </w:tcPr>
          <w:p w14:paraId="71E68E44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34ECCAC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Rudic, JS</w:t>
            </w:r>
          </w:p>
        </w:tc>
        <w:tc>
          <w:tcPr>
            <w:tcW w:w="1417" w:type="dxa"/>
            <w:vAlign w:val="center"/>
          </w:tcPr>
          <w:p w14:paraId="7B2CFD4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Cochrane Db Syst Rev</w:t>
            </w:r>
          </w:p>
        </w:tc>
        <w:tc>
          <w:tcPr>
            <w:tcW w:w="993" w:type="dxa"/>
            <w:vAlign w:val="center"/>
          </w:tcPr>
          <w:p w14:paraId="07FE633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71</w:t>
            </w:r>
          </w:p>
        </w:tc>
      </w:tr>
      <w:tr w:rsidR="00151511" w:rsidRPr="00151511" w14:paraId="5E98F8DC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06A2198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88</w:t>
            </w:r>
          </w:p>
        </w:tc>
        <w:tc>
          <w:tcPr>
            <w:tcW w:w="3233" w:type="dxa"/>
            <w:vAlign w:val="center"/>
          </w:tcPr>
          <w:p w14:paraId="13B8E84B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Autoimmune Hepatitis-PBC Overlap Syndrome: A Simplified Scoring System May Assist in the Diagnosis</w:t>
            </w:r>
          </w:p>
        </w:tc>
        <w:tc>
          <w:tcPr>
            <w:tcW w:w="1276" w:type="dxa"/>
            <w:vAlign w:val="center"/>
          </w:tcPr>
          <w:p w14:paraId="37B43FD7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2010</w:t>
            </w:r>
          </w:p>
        </w:tc>
        <w:tc>
          <w:tcPr>
            <w:tcW w:w="1276" w:type="dxa"/>
            <w:vAlign w:val="center"/>
          </w:tcPr>
          <w:p w14:paraId="1901F69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Neuhauser, M</w:t>
            </w:r>
          </w:p>
        </w:tc>
        <w:tc>
          <w:tcPr>
            <w:tcW w:w="1417" w:type="dxa"/>
            <w:vAlign w:val="center"/>
          </w:tcPr>
          <w:p w14:paraId="7B5DF6B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Am J Gastroenterol</w:t>
            </w:r>
          </w:p>
        </w:tc>
        <w:tc>
          <w:tcPr>
            <w:tcW w:w="993" w:type="dxa"/>
            <w:vAlign w:val="center"/>
          </w:tcPr>
          <w:p w14:paraId="5ECFA27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69</w:t>
            </w:r>
          </w:p>
        </w:tc>
      </w:tr>
      <w:tr w:rsidR="00151511" w:rsidRPr="00151511" w14:paraId="111BCB28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2D90084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89</w:t>
            </w:r>
          </w:p>
        </w:tc>
        <w:tc>
          <w:tcPr>
            <w:tcW w:w="3233" w:type="dxa"/>
            <w:vAlign w:val="center"/>
          </w:tcPr>
          <w:p w14:paraId="09999AE1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Incidence, Risk Factors, and Survival of Hepatocellular Carcinoma in Primary Biliary Cirrhosis: Comparative Analysis from Two Centers</w:t>
            </w:r>
          </w:p>
        </w:tc>
        <w:tc>
          <w:tcPr>
            <w:tcW w:w="1276" w:type="dxa"/>
            <w:vAlign w:val="center"/>
          </w:tcPr>
          <w:p w14:paraId="64D7677A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36A9A6F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Cavazza, A</w:t>
            </w:r>
          </w:p>
        </w:tc>
        <w:tc>
          <w:tcPr>
            <w:tcW w:w="1417" w:type="dxa"/>
            <w:vAlign w:val="center"/>
          </w:tcPr>
          <w:p w14:paraId="25760315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3B60F17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68</w:t>
            </w:r>
          </w:p>
        </w:tc>
      </w:tr>
      <w:tr w:rsidR="00151511" w:rsidRPr="00151511" w14:paraId="0583B5C5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724D731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90</w:t>
            </w:r>
          </w:p>
        </w:tc>
        <w:tc>
          <w:tcPr>
            <w:tcW w:w="3233" w:type="dxa"/>
            <w:vAlign w:val="center"/>
          </w:tcPr>
          <w:p w14:paraId="2045A7C8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Rising incidence and prevalence of primary biliary cirrhosis: a large population-based study</w:t>
            </w:r>
          </w:p>
        </w:tc>
        <w:tc>
          <w:tcPr>
            <w:tcW w:w="1276" w:type="dxa"/>
            <w:vAlign w:val="center"/>
          </w:tcPr>
          <w:p w14:paraId="2B425662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2014</w:t>
            </w:r>
          </w:p>
        </w:tc>
        <w:tc>
          <w:tcPr>
            <w:tcW w:w="1276" w:type="dxa"/>
            <w:vAlign w:val="center"/>
          </w:tcPr>
          <w:p w14:paraId="2AF8C651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Boonstra, K</w:t>
            </w:r>
          </w:p>
        </w:tc>
        <w:tc>
          <w:tcPr>
            <w:tcW w:w="1417" w:type="dxa"/>
            <w:vAlign w:val="center"/>
          </w:tcPr>
          <w:p w14:paraId="24DCEDAA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Liver Int</w:t>
            </w:r>
          </w:p>
        </w:tc>
        <w:tc>
          <w:tcPr>
            <w:tcW w:w="993" w:type="dxa"/>
            <w:vAlign w:val="center"/>
          </w:tcPr>
          <w:p w14:paraId="4A965D3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67</w:t>
            </w:r>
          </w:p>
        </w:tc>
      </w:tr>
      <w:tr w:rsidR="00151511" w:rsidRPr="00151511" w14:paraId="76598DFB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28E0FA6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91</w:t>
            </w:r>
          </w:p>
        </w:tc>
        <w:tc>
          <w:tcPr>
            <w:tcW w:w="3233" w:type="dxa"/>
            <w:vAlign w:val="center"/>
          </w:tcPr>
          <w:p w14:paraId="59F3A905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Primary biliary cirrhosis and cancer risk: A systematic review and meta-analysis</w:t>
            </w:r>
          </w:p>
        </w:tc>
        <w:tc>
          <w:tcPr>
            <w:tcW w:w="1276" w:type="dxa"/>
            <w:vAlign w:val="center"/>
          </w:tcPr>
          <w:p w14:paraId="73A80FF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2012</w:t>
            </w:r>
          </w:p>
        </w:tc>
        <w:tc>
          <w:tcPr>
            <w:tcW w:w="1276" w:type="dxa"/>
            <w:vAlign w:val="center"/>
          </w:tcPr>
          <w:p w14:paraId="117946D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Liang, Y</w:t>
            </w:r>
          </w:p>
        </w:tc>
        <w:tc>
          <w:tcPr>
            <w:tcW w:w="1417" w:type="dxa"/>
            <w:vAlign w:val="center"/>
          </w:tcPr>
          <w:p w14:paraId="749F1398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15BFB39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67</w:t>
            </w:r>
          </w:p>
        </w:tc>
      </w:tr>
      <w:tr w:rsidR="00151511" w:rsidRPr="00151511" w14:paraId="0D9EF04A" w14:textId="77777777" w:rsidTr="00C61EAC">
        <w:trPr>
          <w:trHeight w:val="1010"/>
        </w:trPr>
        <w:tc>
          <w:tcPr>
            <w:tcW w:w="844" w:type="dxa"/>
            <w:vAlign w:val="center"/>
          </w:tcPr>
          <w:p w14:paraId="64A8C62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92</w:t>
            </w:r>
          </w:p>
        </w:tc>
        <w:tc>
          <w:tcPr>
            <w:tcW w:w="3233" w:type="dxa"/>
            <w:vAlign w:val="center"/>
          </w:tcPr>
          <w:p w14:paraId="39C5A1B3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The role of environmental factors in primary biliary cirrhosis</w:t>
            </w:r>
          </w:p>
        </w:tc>
        <w:tc>
          <w:tcPr>
            <w:tcW w:w="1276" w:type="dxa"/>
            <w:vAlign w:val="center"/>
          </w:tcPr>
          <w:p w14:paraId="6DD93554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40DFC78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Selmi, C</w:t>
            </w:r>
          </w:p>
        </w:tc>
        <w:tc>
          <w:tcPr>
            <w:tcW w:w="1417" w:type="dxa"/>
            <w:vAlign w:val="center"/>
          </w:tcPr>
          <w:p w14:paraId="63F69B8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Trends Immunol</w:t>
            </w:r>
          </w:p>
        </w:tc>
        <w:tc>
          <w:tcPr>
            <w:tcW w:w="993" w:type="dxa"/>
            <w:vAlign w:val="center"/>
          </w:tcPr>
          <w:p w14:paraId="06B94BD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66</w:t>
            </w:r>
          </w:p>
        </w:tc>
      </w:tr>
      <w:tr w:rsidR="00151511" w:rsidRPr="00151511" w14:paraId="237198C1" w14:textId="77777777" w:rsidTr="00C61EAC">
        <w:trPr>
          <w:trHeight w:val="1124"/>
        </w:trPr>
        <w:tc>
          <w:tcPr>
            <w:tcW w:w="844" w:type="dxa"/>
            <w:vAlign w:val="center"/>
          </w:tcPr>
          <w:p w14:paraId="25750C6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93</w:t>
            </w:r>
          </w:p>
        </w:tc>
        <w:tc>
          <w:tcPr>
            <w:tcW w:w="3233" w:type="dxa"/>
            <w:vAlign w:val="center"/>
          </w:tcPr>
          <w:p w14:paraId="166A2DEE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Bacteria and Primary Biliary Cirrhosis</w:t>
            </w:r>
          </w:p>
        </w:tc>
        <w:tc>
          <w:tcPr>
            <w:tcW w:w="1276" w:type="dxa"/>
            <w:vAlign w:val="center"/>
          </w:tcPr>
          <w:p w14:paraId="0270BAC3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39B9804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Bogdanos, DP</w:t>
            </w:r>
          </w:p>
        </w:tc>
        <w:tc>
          <w:tcPr>
            <w:tcW w:w="1417" w:type="dxa"/>
            <w:vAlign w:val="center"/>
          </w:tcPr>
          <w:p w14:paraId="1C7A77B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Clin Rev Allerg Immu</w:t>
            </w:r>
          </w:p>
        </w:tc>
        <w:tc>
          <w:tcPr>
            <w:tcW w:w="993" w:type="dxa"/>
            <w:vAlign w:val="center"/>
          </w:tcPr>
          <w:p w14:paraId="21505FA2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67</w:t>
            </w:r>
          </w:p>
        </w:tc>
      </w:tr>
      <w:tr w:rsidR="00151511" w:rsidRPr="00151511" w14:paraId="36559B27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57FDE1D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94</w:t>
            </w:r>
          </w:p>
        </w:tc>
        <w:tc>
          <w:tcPr>
            <w:tcW w:w="3233" w:type="dxa"/>
            <w:vAlign w:val="center"/>
          </w:tcPr>
          <w:p w14:paraId="41CE5BCF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Combined ursodeoxycholic acid (UDCA) and fenofibrate in primary biliary cholangitis patients with incomplete UDCA response may improve outcomes</w:t>
            </w:r>
          </w:p>
        </w:tc>
        <w:tc>
          <w:tcPr>
            <w:tcW w:w="1276" w:type="dxa"/>
            <w:vAlign w:val="center"/>
          </w:tcPr>
          <w:p w14:paraId="24A4F875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2016</w:t>
            </w:r>
          </w:p>
        </w:tc>
        <w:tc>
          <w:tcPr>
            <w:tcW w:w="1276" w:type="dxa"/>
            <w:vAlign w:val="center"/>
          </w:tcPr>
          <w:p w14:paraId="67DC555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Cheung, AC</w:t>
            </w:r>
          </w:p>
        </w:tc>
        <w:tc>
          <w:tcPr>
            <w:tcW w:w="1417" w:type="dxa"/>
            <w:vAlign w:val="center"/>
          </w:tcPr>
          <w:p w14:paraId="0AC25388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Aliment Pharm Ther</w:t>
            </w:r>
          </w:p>
        </w:tc>
        <w:tc>
          <w:tcPr>
            <w:tcW w:w="993" w:type="dxa"/>
            <w:vAlign w:val="center"/>
          </w:tcPr>
          <w:p w14:paraId="5C0B3DF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69</w:t>
            </w:r>
          </w:p>
        </w:tc>
      </w:tr>
      <w:tr w:rsidR="00151511" w:rsidRPr="00151511" w14:paraId="255D3FE6" w14:textId="77777777" w:rsidTr="00C61EAC">
        <w:trPr>
          <w:trHeight w:val="639"/>
        </w:trPr>
        <w:tc>
          <w:tcPr>
            <w:tcW w:w="844" w:type="dxa"/>
            <w:vAlign w:val="center"/>
          </w:tcPr>
          <w:p w14:paraId="0D2E004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lastRenderedPageBreak/>
              <w:t>95</w:t>
            </w:r>
          </w:p>
        </w:tc>
        <w:tc>
          <w:tcPr>
            <w:tcW w:w="3233" w:type="dxa"/>
            <w:vAlign w:val="center"/>
          </w:tcPr>
          <w:p w14:paraId="38CCBCB1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Distinct MicroRNAs Expression Profile in Primary Biliary Cirrhosis and Evaluation of miR 505-3p and miR197-3p as Novel Biomarkers</w:t>
            </w:r>
          </w:p>
        </w:tc>
        <w:tc>
          <w:tcPr>
            <w:tcW w:w="1276" w:type="dxa"/>
            <w:vAlign w:val="center"/>
          </w:tcPr>
          <w:p w14:paraId="216FAE8A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 w14:paraId="5487AE9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Ninomiya, M</w:t>
            </w:r>
          </w:p>
        </w:tc>
        <w:tc>
          <w:tcPr>
            <w:tcW w:w="1417" w:type="dxa"/>
            <w:vAlign w:val="center"/>
          </w:tcPr>
          <w:p w14:paraId="744285A3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Plos One</w:t>
            </w:r>
          </w:p>
        </w:tc>
        <w:tc>
          <w:tcPr>
            <w:tcW w:w="993" w:type="dxa"/>
            <w:vAlign w:val="center"/>
          </w:tcPr>
          <w:p w14:paraId="370DBEC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67</w:t>
            </w:r>
          </w:p>
        </w:tc>
      </w:tr>
      <w:tr w:rsidR="00151511" w:rsidRPr="00151511" w14:paraId="485D4AB5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05691F5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96</w:t>
            </w:r>
          </w:p>
        </w:tc>
        <w:tc>
          <w:tcPr>
            <w:tcW w:w="3233" w:type="dxa"/>
            <w:vAlign w:val="center"/>
          </w:tcPr>
          <w:p w14:paraId="2CE41CB5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Primary Biliary Cirrhosis (PBC), PBC Autoantibodies, and Hepatic Parameter Abnormalities in a Large Population of Systemic Sclerosis Patients</w:t>
            </w:r>
          </w:p>
        </w:tc>
        <w:tc>
          <w:tcPr>
            <w:tcW w:w="1276" w:type="dxa"/>
            <w:vAlign w:val="center"/>
          </w:tcPr>
          <w:p w14:paraId="462E05E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6EA52098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Assassi, S</w:t>
            </w:r>
          </w:p>
        </w:tc>
        <w:tc>
          <w:tcPr>
            <w:tcW w:w="1417" w:type="dxa"/>
            <w:vAlign w:val="center"/>
          </w:tcPr>
          <w:p w14:paraId="4FE05177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 Rheumatol</w:t>
            </w:r>
          </w:p>
        </w:tc>
        <w:tc>
          <w:tcPr>
            <w:tcW w:w="993" w:type="dxa"/>
            <w:vAlign w:val="center"/>
          </w:tcPr>
          <w:p w14:paraId="6BA231CC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63</w:t>
            </w:r>
          </w:p>
        </w:tc>
      </w:tr>
      <w:tr w:rsidR="00151511" w:rsidRPr="00151511" w14:paraId="702BED1D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3E07D54D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97</w:t>
            </w:r>
          </w:p>
        </w:tc>
        <w:tc>
          <w:tcPr>
            <w:tcW w:w="3233" w:type="dxa"/>
            <w:vAlign w:val="center"/>
          </w:tcPr>
          <w:p w14:paraId="4D8EB2C1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Seladelpar (MBX-8025), a selective PPAR-delta agonist, in patients with primary biliary cholangitis with an inadequate response to ursodeoxycholic acid: a double-blind, randomised, placebo-controlled, phase 2, proof-of-concept study</w:t>
            </w:r>
          </w:p>
        </w:tc>
        <w:tc>
          <w:tcPr>
            <w:tcW w:w="1276" w:type="dxa"/>
            <w:vAlign w:val="center"/>
          </w:tcPr>
          <w:p w14:paraId="766C7066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2017</w:t>
            </w:r>
          </w:p>
        </w:tc>
        <w:tc>
          <w:tcPr>
            <w:tcW w:w="1276" w:type="dxa"/>
            <w:vAlign w:val="center"/>
          </w:tcPr>
          <w:p w14:paraId="3920F48A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Jones, D</w:t>
            </w:r>
          </w:p>
        </w:tc>
        <w:tc>
          <w:tcPr>
            <w:tcW w:w="1417" w:type="dxa"/>
            <w:vAlign w:val="center"/>
          </w:tcPr>
          <w:p w14:paraId="405212CC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Lancet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 xml:space="preserve"> </w:t>
            </w:r>
            <w:r w:rsidRPr="00151511">
              <w:rPr>
                <w:rFonts w:eastAsia="宋体" w:cs="Times New Roman"/>
                <w:sz w:val="20"/>
                <w:szCs w:val="20"/>
              </w:rPr>
              <w:t>Gastroenterol</w:t>
            </w:r>
          </w:p>
        </w:tc>
        <w:tc>
          <w:tcPr>
            <w:tcW w:w="993" w:type="dxa"/>
            <w:vAlign w:val="center"/>
          </w:tcPr>
          <w:p w14:paraId="27A7EC9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62</w:t>
            </w:r>
          </w:p>
        </w:tc>
      </w:tr>
      <w:tr w:rsidR="00151511" w:rsidRPr="00151511" w14:paraId="1F504586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60345B55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98</w:t>
            </w:r>
          </w:p>
        </w:tc>
        <w:tc>
          <w:tcPr>
            <w:tcW w:w="3233" w:type="dxa"/>
            <w:vAlign w:val="center"/>
          </w:tcPr>
          <w:p w14:paraId="53A0B800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Early Biochemical Response to Ursodeoxycholic Acid and Long-Term Prognosis of Primary Biliary Cirrhosis: Results of a 14-Year Cohort Study</w:t>
            </w:r>
          </w:p>
        </w:tc>
        <w:tc>
          <w:tcPr>
            <w:tcW w:w="1276" w:type="dxa"/>
            <w:vAlign w:val="center"/>
          </w:tcPr>
          <w:p w14:paraId="57BFB5F5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2013</w:t>
            </w:r>
          </w:p>
        </w:tc>
        <w:tc>
          <w:tcPr>
            <w:tcW w:w="1276" w:type="dxa"/>
            <w:vAlign w:val="center"/>
          </w:tcPr>
          <w:p w14:paraId="70B46FA9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Zhang, LN</w:t>
            </w:r>
          </w:p>
        </w:tc>
        <w:tc>
          <w:tcPr>
            <w:tcW w:w="1417" w:type="dxa"/>
            <w:vAlign w:val="center"/>
          </w:tcPr>
          <w:p w14:paraId="552CA9AB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2D75E7F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73</w:t>
            </w:r>
          </w:p>
        </w:tc>
      </w:tr>
      <w:tr w:rsidR="00151511" w:rsidRPr="00151511" w14:paraId="326024D2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6587DCE6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99</w:t>
            </w:r>
          </w:p>
        </w:tc>
        <w:tc>
          <w:tcPr>
            <w:tcW w:w="3233" w:type="dxa"/>
            <w:vAlign w:val="center"/>
          </w:tcPr>
          <w:p w14:paraId="28325EBD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Are Transient Environmental Agents Involved in the Cause of Primary Biliary Cirrhosis? Evidence from Space-Time Clustering Analysis</w:t>
            </w:r>
          </w:p>
        </w:tc>
        <w:tc>
          <w:tcPr>
            <w:tcW w:w="1276" w:type="dxa"/>
            <w:vAlign w:val="center"/>
          </w:tcPr>
          <w:p w14:paraId="2F6943D1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745B6384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McNally, RJQ</w:t>
            </w:r>
          </w:p>
        </w:tc>
        <w:tc>
          <w:tcPr>
            <w:tcW w:w="1417" w:type="dxa"/>
            <w:vAlign w:val="center"/>
          </w:tcPr>
          <w:p w14:paraId="7105C0C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Hepatology</w:t>
            </w:r>
          </w:p>
        </w:tc>
        <w:tc>
          <w:tcPr>
            <w:tcW w:w="993" w:type="dxa"/>
            <w:vAlign w:val="center"/>
          </w:tcPr>
          <w:p w14:paraId="04C27070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60</w:t>
            </w:r>
          </w:p>
        </w:tc>
      </w:tr>
      <w:tr w:rsidR="00151511" w:rsidRPr="00151511" w14:paraId="3C749063" w14:textId="77777777" w:rsidTr="00C61EAC">
        <w:trPr>
          <w:trHeight w:val="1134"/>
        </w:trPr>
        <w:tc>
          <w:tcPr>
            <w:tcW w:w="844" w:type="dxa"/>
            <w:vAlign w:val="center"/>
          </w:tcPr>
          <w:p w14:paraId="2D71659B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DengXian" w:cs="Times New Roman"/>
                <w:color w:val="000000"/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3233" w:type="dxa"/>
            <w:vAlign w:val="center"/>
          </w:tcPr>
          <w:p w14:paraId="7253B290" w14:textId="77777777" w:rsidR="00151511" w:rsidRPr="00151511" w:rsidRDefault="00151511" w:rsidP="00151511">
            <w:pPr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B Cells Suppress the Inflammatory Response in a Mouse Model of Primary Biliary Cirrhosis</w:t>
            </w:r>
          </w:p>
        </w:tc>
        <w:tc>
          <w:tcPr>
            <w:tcW w:w="1276" w:type="dxa"/>
            <w:vAlign w:val="center"/>
          </w:tcPr>
          <w:p w14:paraId="0FF6348D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76" w:type="dxa"/>
            <w:vAlign w:val="center"/>
          </w:tcPr>
          <w:p w14:paraId="734AD0D3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Moritoki, Y</w:t>
            </w:r>
          </w:p>
        </w:tc>
        <w:tc>
          <w:tcPr>
            <w:tcW w:w="1417" w:type="dxa"/>
            <w:vAlign w:val="center"/>
          </w:tcPr>
          <w:p w14:paraId="183A130F" w14:textId="77777777" w:rsidR="00151511" w:rsidRPr="00151511" w:rsidRDefault="00151511" w:rsidP="0015151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Gastroenterology</w:t>
            </w:r>
          </w:p>
        </w:tc>
        <w:tc>
          <w:tcPr>
            <w:tcW w:w="993" w:type="dxa"/>
            <w:vAlign w:val="center"/>
          </w:tcPr>
          <w:p w14:paraId="06F9E937" w14:textId="77777777" w:rsidR="00151511" w:rsidRPr="00151511" w:rsidRDefault="00151511" w:rsidP="00151511">
            <w:pPr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51511">
              <w:rPr>
                <w:rFonts w:eastAsia="宋体" w:cs="Times New Roman"/>
                <w:sz w:val="20"/>
                <w:szCs w:val="20"/>
              </w:rPr>
              <w:t>65</w:t>
            </w:r>
          </w:p>
        </w:tc>
      </w:tr>
    </w:tbl>
    <w:p w14:paraId="14500DE0" w14:textId="77777777" w:rsidR="00E80245" w:rsidRDefault="00E80245" w:rsidP="00E80245">
      <w:pPr>
        <w:spacing w:line="360" w:lineRule="auto"/>
        <w:rPr>
          <w:bCs/>
          <w:szCs w:val="21"/>
          <w:lang w:eastAsia="zh-CN"/>
        </w:rPr>
      </w:pPr>
    </w:p>
    <w:p w14:paraId="2F5145AA" w14:textId="6457F5CA" w:rsidR="00151511" w:rsidRDefault="00151511" w:rsidP="00151511">
      <w:pPr>
        <w:spacing w:line="360" w:lineRule="auto"/>
        <w:contextualSpacing/>
        <w:rPr>
          <w:b/>
          <w:bCs/>
          <w:sz w:val="20"/>
          <w:szCs w:val="20"/>
          <w:lang w:eastAsia="zh-CN"/>
        </w:rPr>
      </w:pPr>
      <w:r w:rsidRPr="00151511">
        <w:rPr>
          <w:rFonts w:eastAsia="宋体" w:cs="Times New Roman"/>
          <w:b/>
          <w:bCs/>
          <w:sz w:val="20"/>
          <w:szCs w:val="20"/>
          <w:lang w:eastAsia="zh-CN"/>
        </w:rPr>
        <w:t xml:space="preserve">Table </w:t>
      </w:r>
      <w:r w:rsidRPr="00151511">
        <w:rPr>
          <w:rFonts w:eastAsia="宋体" w:cs="Times New Roman" w:hint="eastAsia"/>
          <w:b/>
          <w:bCs/>
          <w:sz w:val="20"/>
          <w:szCs w:val="20"/>
          <w:lang w:eastAsia="zh-CN"/>
        </w:rPr>
        <w:t>2.</w:t>
      </w:r>
      <w:r w:rsidRPr="00151511">
        <w:rPr>
          <w:rFonts w:eastAsia="宋体" w:cs="Times New Roman"/>
          <w:b/>
          <w:bCs/>
          <w:sz w:val="20"/>
          <w:szCs w:val="20"/>
          <w:lang w:eastAsia="zh-CN"/>
        </w:rPr>
        <w:t xml:space="preserve"> </w:t>
      </w:r>
      <w:r w:rsidRPr="00151511">
        <w:rPr>
          <w:rFonts w:eastAsia="宋体" w:cs="Times New Roman"/>
          <w:bCs/>
          <w:sz w:val="20"/>
          <w:szCs w:val="20"/>
          <w:lang w:eastAsia="zh-CN"/>
        </w:rPr>
        <w:t>The top ten countries ranked by the citation number of articles.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417"/>
        <w:gridCol w:w="1701"/>
        <w:gridCol w:w="1418"/>
        <w:gridCol w:w="1559"/>
        <w:gridCol w:w="284"/>
      </w:tblGrid>
      <w:tr w:rsidR="00151511" w:rsidRPr="00151511" w14:paraId="30699D73" w14:textId="77777777" w:rsidTr="00C61EAC">
        <w:trPr>
          <w:trHeight w:val="818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45403A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Rank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DC48A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Country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29C94F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No. of articles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1CBA2E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Citations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1F78C9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bCs/>
                <w:sz w:val="20"/>
                <w:szCs w:val="20"/>
                <w:lang w:eastAsia="zh-CN"/>
              </w:rPr>
              <w:t>Average</w:t>
            </w: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 xml:space="preserve"> </w:t>
            </w:r>
            <w:r w:rsidRPr="00151511">
              <w:rPr>
                <w:rFonts w:eastAsia="宋体" w:cs="Times New Roman" w:hint="eastAsia"/>
                <w:bCs/>
                <w:sz w:val="20"/>
                <w:szCs w:val="20"/>
                <w:lang w:eastAsia="zh-CN"/>
              </w:rPr>
              <w:t>citations</w:t>
            </w:r>
          </w:p>
        </w:tc>
      </w:tr>
      <w:tr w:rsidR="00151511" w:rsidRPr="00151511" w14:paraId="4C254A96" w14:textId="77777777" w:rsidTr="00C61EAC">
        <w:trPr>
          <w:gridAfter w:val="1"/>
          <w:wAfter w:w="284" w:type="dxa"/>
          <w:trHeight w:val="454"/>
        </w:trPr>
        <w:tc>
          <w:tcPr>
            <w:tcW w:w="959" w:type="dxa"/>
            <w:tcBorders>
              <w:top w:val="single" w:sz="4" w:space="0" w:color="auto"/>
            </w:tcBorders>
          </w:tcPr>
          <w:p w14:paraId="5ECA03F1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706131D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USA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F17FBDB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52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625BC8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7095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0BD605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36</w:t>
            </w:r>
          </w:p>
        </w:tc>
      </w:tr>
      <w:tr w:rsidR="00151511" w:rsidRPr="00151511" w14:paraId="2ACB053E" w14:textId="77777777" w:rsidTr="00C61EAC">
        <w:trPr>
          <w:gridAfter w:val="1"/>
          <w:wAfter w:w="284" w:type="dxa"/>
          <w:trHeight w:val="454"/>
        </w:trPr>
        <w:tc>
          <w:tcPr>
            <w:tcW w:w="959" w:type="dxa"/>
          </w:tcPr>
          <w:p w14:paraId="4DAB2EB0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417" w:type="dxa"/>
          </w:tcPr>
          <w:p w14:paraId="3B2AF9BE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UK</w:t>
            </w:r>
          </w:p>
        </w:tc>
        <w:tc>
          <w:tcPr>
            <w:tcW w:w="1701" w:type="dxa"/>
          </w:tcPr>
          <w:p w14:paraId="7ABBC5C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1418" w:type="dxa"/>
          </w:tcPr>
          <w:p w14:paraId="109EBE9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3671</w:t>
            </w:r>
          </w:p>
        </w:tc>
        <w:tc>
          <w:tcPr>
            <w:tcW w:w="1559" w:type="dxa"/>
          </w:tcPr>
          <w:p w14:paraId="35020D7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22</w:t>
            </w:r>
          </w:p>
        </w:tc>
      </w:tr>
      <w:tr w:rsidR="00151511" w:rsidRPr="00151511" w14:paraId="4DF5302A" w14:textId="77777777" w:rsidTr="00C61EAC">
        <w:trPr>
          <w:gridAfter w:val="1"/>
          <w:wAfter w:w="284" w:type="dxa"/>
          <w:trHeight w:val="454"/>
        </w:trPr>
        <w:tc>
          <w:tcPr>
            <w:tcW w:w="959" w:type="dxa"/>
          </w:tcPr>
          <w:p w14:paraId="4994D6CB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417" w:type="dxa"/>
          </w:tcPr>
          <w:p w14:paraId="6E00F738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Canada</w:t>
            </w:r>
          </w:p>
        </w:tc>
        <w:tc>
          <w:tcPr>
            <w:tcW w:w="1701" w:type="dxa"/>
          </w:tcPr>
          <w:p w14:paraId="3619188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23</w:t>
            </w:r>
          </w:p>
        </w:tc>
        <w:tc>
          <w:tcPr>
            <w:tcW w:w="1418" w:type="dxa"/>
          </w:tcPr>
          <w:p w14:paraId="7BCDDBC2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4194</w:t>
            </w:r>
          </w:p>
        </w:tc>
        <w:tc>
          <w:tcPr>
            <w:tcW w:w="1559" w:type="dxa"/>
          </w:tcPr>
          <w:p w14:paraId="2374ABF2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82</w:t>
            </w:r>
          </w:p>
        </w:tc>
      </w:tr>
      <w:tr w:rsidR="00151511" w:rsidRPr="00151511" w14:paraId="20C9AD26" w14:textId="77777777" w:rsidTr="00C61EAC">
        <w:trPr>
          <w:gridAfter w:val="1"/>
          <w:wAfter w:w="284" w:type="dxa"/>
          <w:trHeight w:val="454"/>
        </w:trPr>
        <w:tc>
          <w:tcPr>
            <w:tcW w:w="959" w:type="dxa"/>
          </w:tcPr>
          <w:p w14:paraId="52459F83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417" w:type="dxa"/>
          </w:tcPr>
          <w:p w14:paraId="54053FC7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Japan</w:t>
            </w:r>
          </w:p>
        </w:tc>
        <w:tc>
          <w:tcPr>
            <w:tcW w:w="1701" w:type="dxa"/>
          </w:tcPr>
          <w:p w14:paraId="686C914E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23</w:t>
            </w:r>
          </w:p>
        </w:tc>
        <w:tc>
          <w:tcPr>
            <w:tcW w:w="1418" w:type="dxa"/>
          </w:tcPr>
          <w:p w14:paraId="280F3946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2278</w:t>
            </w:r>
          </w:p>
        </w:tc>
        <w:tc>
          <w:tcPr>
            <w:tcW w:w="1559" w:type="dxa"/>
          </w:tcPr>
          <w:p w14:paraId="6B15076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9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</w:tr>
      <w:tr w:rsidR="00151511" w:rsidRPr="00151511" w14:paraId="0A5ED50D" w14:textId="77777777" w:rsidTr="00C61EAC">
        <w:trPr>
          <w:gridAfter w:val="1"/>
          <w:wAfter w:w="284" w:type="dxa"/>
          <w:trHeight w:val="454"/>
        </w:trPr>
        <w:tc>
          <w:tcPr>
            <w:tcW w:w="959" w:type="dxa"/>
          </w:tcPr>
          <w:p w14:paraId="74043D3B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417" w:type="dxa"/>
          </w:tcPr>
          <w:p w14:paraId="61ADE3A3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Italy</w:t>
            </w:r>
          </w:p>
        </w:tc>
        <w:tc>
          <w:tcPr>
            <w:tcW w:w="1701" w:type="dxa"/>
          </w:tcPr>
          <w:p w14:paraId="6702D0EF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1418" w:type="dxa"/>
          </w:tcPr>
          <w:p w14:paraId="7216502A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2772</w:t>
            </w:r>
          </w:p>
        </w:tc>
        <w:tc>
          <w:tcPr>
            <w:tcW w:w="1559" w:type="dxa"/>
          </w:tcPr>
          <w:p w14:paraId="5D0E585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26</w:t>
            </w:r>
          </w:p>
        </w:tc>
      </w:tr>
      <w:tr w:rsidR="00151511" w:rsidRPr="00151511" w14:paraId="3925C9AC" w14:textId="77777777" w:rsidTr="00C61EAC">
        <w:trPr>
          <w:gridAfter w:val="1"/>
          <w:wAfter w:w="284" w:type="dxa"/>
          <w:trHeight w:val="454"/>
        </w:trPr>
        <w:tc>
          <w:tcPr>
            <w:tcW w:w="959" w:type="dxa"/>
          </w:tcPr>
          <w:p w14:paraId="731FFAFB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lastRenderedPageBreak/>
              <w:t>6</w:t>
            </w:r>
          </w:p>
        </w:tc>
        <w:tc>
          <w:tcPr>
            <w:tcW w:w="1417" w:type="dxa"/>
          </w:tcPr>
          <w:p w14:paraId="2CEC7648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China</w:t>
            </w:r>
          </w:p>
        </w:tc>
        <w:tc>
          <w:tcPr>
            <w:tcW w:w="1701" w:type="dxa"/>
          </w:tcPr>
          <w:p w14:paraId="06826ED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1418" w:type="dxa"/>
          </w:tcPr>
          <w:p w14:paraId="54E2066A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1463</w:t>
            </w:r>
          </w:p>
        </w:tc>
        <w:tc>
          <w:tcPr>
            <w:tcW w:w="1559" w:type="dxa"/>
          </w:tcPr>
          <w:p w14:paraId="7E1CFD1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8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151511" w:rsidRPr="00151511" w14:paraId="47B631E9" w14:textId="77777777" w:rsidTr="00C61EAC">
        <w:trPr>
          <w:gridAfter w:val="1"/>
          <w:wAfter w:w="284" w:type="dxa"/>
          <w:trHeight w:val="454"/>
        </w:trPr>
        <w:tc>
          <w:tcPr>
            <w:tcW w:w="959" w:type="dxa"/>
          </w:tcPr>
          <w:p w14:paraId="79B6AA6A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417" w:type="dxa"/>
          </w:tcPr>
          <w:p w14:paraId="6FB4AA07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Australia</w:t>
            </w:r>
          </w:p>
        </w:tc>
        <w:tc>
          <w:tcPr>
            <w:tcW w:w="1701" w:type="dxa"/>
          </w:tcPr>
          <w:p w14:paraId="00EBC29C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1418" w:type="dxa"/>
          </w:tcPr>
          <w:p w14:paraId="6F959C1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1837</w:t>
            </w:r>
          </w:p>
        </w:tc>
        <w:tc>
          <w:tcPr>
            <w:tcW w:w="1559" w:type="dxa"/>
          </w:tcPr>
          <w:p w14:paraId="5991C16C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31</w:t>
            </w:r>
          </w:p>
        </w:tc>
      </w:tr>
      <w:tr w:rsidR="00151511" w:rsidRPr="00151511" w14:paraId="0E39C882" w14:textId="77777777" w:rsidTr="00C61EAC">
        <w:trPr>
          <w:gridAfter w:val="1"/>
          <w:wAfter w:w="284" w:type="dxa"/>
          <w:trHeight w:val="454"/>
        </w:trPr>
        <w:tc>
          <w:tcPr>
            <w:tcW w:w="959" w:type="dxa"/>
          </w:tcPr>
          <w:p w14:paraId="33A5A424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417" w:type="dxa"/>
          </w:tcPr>
          <w:p w14:paraId="7496D384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Netherlands</w:t>
            </w:r>
          </w:p>
        </w:tc>
        <w:tc>
          <w:tcPr>
            <w:tcW w:w="1701" w:type="dxa"/>
          </w:tcPr>
          <w:p w14:paraId="593D5202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1418" w:type="dxa"/>
          </w:tcPr>
          <w:p w14:paraId="207FF58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2069</w:t>
            </w:r>
          </w:p>
        </w:tc>
        <w:tc>
          <w:tcPr>
            <w:tcW w:w="1559" w:type="dxa"/>
          </w:tcPr>
          <w:p w14:paraId="67FA73CF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59</w:t>
            </w:r>
          </w:p>
        </w:tc>
      </w:tr>
      <w:tr w:rsidR="00151511" w:rsidRPr="00151511" w14:paraId="4AD7A646" w14:textId="77777777" w:rsidTr="00C61EAC">
        <w:trPr>
          <w:gridAfter w:val="1"/>
          <w:wAfter w:w="284" w:type="dxa"/>
          <w:trHeight w:val="454"/>
        </w:trPr>
        <w:tc>
          <w:tcPr>
            <w:tcW w:w="959" w:type="dxa"/>
          </w:tcPr>
          <w:p w14:paraId="59CDE3D0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417" w:type="dxa"/>
          </w:tcPr>
          <w:p w14:paraId="4AA9926E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France</w:t>
            </w:r>
          </w:p>
        </w:tc>
        <w:tc>
          <w:tcPr>
            <w:tcW w:w="1701" w:type="dxa"/>
          </w:tcPr>
          <w:p w14:paraId="6663671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1418" w:type="dxa"/>
          </w:tcPr>
          <w:p w14:paraId="0E75E09A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2355</w:t>
            </w:r>
          </w:p>
        </w:tc>
        <w:tc>
          <w:tcPr>
            <w:tcW w:w="1559" w:type="dxa"/>
          </w:tcPr>
          <w:p w14:paraId="5B363D39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96</w:t>
            </w:r>
          </w:p>
        </w:tc>
      </w:tr>
      <w:tr w:rsidR="00151511" w:rsidRPr="00151511" w14:paraId="605D4DE3" w14:textId="77777777" w:rsidTr="00C61EAC">
        <w:trPr>
          <w:gridAfter w:val="1"/>
          <w:wAfter w:w="284" w:type="dxa"/>
          <w:trHeight w:val="454"/>
        </w:trPr>
        <w:tc>
          <w:tcPr>
            <w:tcW w:w="959" w:type="dxa"/>
          </w:tcPr>
          <w:p w14:paraId="4E129ADA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417" w:type="dxa"/>
          </w:tcPr>
          <w:p w14:paraId="3ACB8BB7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Spain</w:t>
            </w:r>
          </w:p>
        </w:tc>
        <w:tc>
          <w:tcPr>
            <w:tcW w:w="1701" w:type="dxa"/>
          </w:tcPr>
          <w:p w14:paraId="2DBBC24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418" w:type="dxa"/>
          </w:tcPr>
          <w:p w14:paraId="1717D1C4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1707</w:t>
            </w:r>
          </w:p>
        </w:tc>
        <w:tc>
          <w:tcPr>
            <w:tcW w:w="1559" w:type="dxa"/>
          </w:tcPr>
          <w:p w14:paraId="07D70EBE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55</w:t>
            </w:r>
          </w:p>
        </w:tc>
      </w:tr>
    </w:tbl>
    <w:p w14:paraId="4D450272" w14:textId="77777777" w:rsidR="00151511" w:rsidRDefault="00151511" w:rsidP="00151511">
      <w:pPr>
        <w:spacing w:line="360" w:lineRule="auto"/>
        <w:jc w:val="both"/>
        <w:rPr>
          <w:rFonts w:cs="Times New Roman"/>
          <w:bCs/>
          <w:sz w:val="20"/>
          <w:szCs w:val="20"/>
          <w:lang w:eastAsia="zh-CN"/>
        </w:rPr>
      </w:pPr>
      <w:r w:rsidRPr="00C54FA4">
        <w:rPr>
          <w:rFonts w:cs="Times New Roman"/>
          <w:bCs/>
          <w:sz w:val="20"/>
          <w:szCs w:val="20"/>
        </w:rPr>
        <w:t>USA: United States of America; UK: United Kingdom.</w:t>
      </w:r>
    </w:p>
    <w:p w14:paraId="6F6C76E0" w14:textId="77777777" w:rsidR="00151511" w:rsidRDefault="00151511" w:rsidP="00151511">
      <w:pPr>
        <w:spacing w:line="360" w:lineRule="auto"/>
        <w:jc w:val="both"/>
        <w:rPr>
          <w:rFonts w:cs="Times New Roman"/>
          <w:bCs/>
          <w:sz w:val="20"/>
          <w:szCs w:val="20"/>
          <w:lang w:eastAsia="zh-CN"/>
        </w:rPr>
      </w:pPr>
    </w:p>
    <w:p w14:paraId="3242B933" w14:textId="07CC8D22" w:rsidR="00151511" w:rsidRPr="00151511" w:rsidRDefault="00151511" w:rsidP="00151511">
      <w:pPr>
        <w:spacing w:before="0" w:after="0" w:line="360" w:lineRule="auto"/>
        <w:jc w:val="both"/>
        <w:rPr>
          <w:rFonts w:eastAsia="宋体" w:cs="Times New Roman"/>
          <w:bCs/>
          <w:sz w:val="20"/>
          <w:szCs w:val="20"/>
          <w:lang w:eastAsia="zh-CN"/>
        </w:rPr>
      </w:pPr>
      <w:r w:rsidRPr="00151511">
        <w:rPr>
          <w:rFonts w:eastAsia="宋体" w:cs="Times New Roman"/>
          <w:b/>
          <w:bCs/>
          <w:sz w:val="20"/>
          <w:szCs w:val="20"/>
          <w:lang w:eastAsia="zh-CN"/>
        </w:rPr>
        <w:t xml:space="preserve">Table </w:t>
      </w:r>
      <w:r w:rsidRPr="00151511">
        <w:rPr>
          <w:rFonts w:eastAsia="宋体" w:cs="Times New Roman" w:hint="eastAsia"/>
          <w:b/>
          <w:bCs/>
          <w:sz w:val="20"/>
          <w:szCs w:val="20"/>
          <w:lang w:eastAsia="zh-CN"/>
        </w:rPr>
        <w:t>3.</w:t>
      </w:r>
      <w:r w:rsidRPr="00151511">
        <w:rPr>
          <w:rFonts w:eastAsia="宋体" w:cs="Times New Roman"/>
          <w:b/>
          <w:bCs/>
          <w:sz w:val="20"/>
          <w:szCs w:val="20"/>
          <w:lang w:eastAsia="zh-CN"/>
        </w:rPr>
        <w:t xml:space="preserve"> </w:t>
      </w:r>
      <w:r w:rsidRPr="00151511">
        <w:rPr>
          <w:rFonts w:eastAsia="宋体" w:cs="Times New Roman"/>
          <w:bCs/>
          <w:sz w:val="20"/>
          <w:szCs w:val="20"/>
          <w:lang w:eastAsia="zh-CN"/>
        </w:rPr>
        <w:t>The top ten institutions ranked by the citation number of articles.</w:t>
      </w:r>
    </w:p>
    <w:tbl>
      <w:tblPr>
        <w:tblW w:w="7479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984"/>
        <w:gridCol w:w="1701"/>
        <w:gridCol w:w="1560"/>
        <w:gridCol w:w="1275"/>
      </w:tblGrid>
      <w:tr w:rsidR="00151511" w:rsidRPr="00151511" w14:paraId="0E1D9AE0" w14:textId="77777777" w:rsidTr="00C61EAC">
        <w:trPr>
          <w:trHeight w:val="45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D2B989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Rank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4A0BA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Institution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36BEE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Publications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5D09A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Country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5F60580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bCs/>
                <w:sz w:val="20"/>
                <w:szCs w:val="20"/>
                <w:lang w:eastAsia="zh-CN"/>
              </w:rPr>
              <w:t>Citations</w:t>
            </w:r>
          </w:p>
        </w:tc>
      </w:tr>
      <w:tr w:rsidR="00151511" w:rsidRPr="00151511" w14:paraId="424F14A6" w14:textId="77777777" w:rsidTr="00C61EAC">
        <w:trPr>
          <w:trHeight w:val="454"/>
        </w:trPr>
        <w:tc>
          <w:tcPr>
            <w:tcW w:w="959" w:type="dxa"/>
            <w:tcBorders>
              <w:top w:val="single" w:sz="4" w:space="0" w:color="auto"/>
            </w:tcBorders>
          </w:tcPr>
          <w:p w14:paraId="20CB3BCC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FC1D255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Univ Calif Davis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9AEDCD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045A4B3F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USA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705530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bCs/>
                <w:color w:val="000000"/>
                <w:sz w:val="20"/>
                <w:szCs w:val="20"/>
                <w:lang w:eastAsia="zh-CN"/>
              </w:rPr>
              <w:t>4</w:t>
            </w: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451</w:t>
            </w:r>
          </w:p>
        </w:tc>
      </w:tr>
      <w:tr w:rsidR="00151511" w:rsidRPr="00151511" w14:paraId="7D782FAF" w14:textId="77777777" w:rsidTr="00C61EAC">
        <w:trPr>
          <w:trHeight w:val="454"/>
        </w:trPr>
        <w:tc>
          <w:tcPr>
            <w:tcW w:w="959" w:type="dxa"/>
          </w:tcPr>
          <w:p w14:paraId="6ED80DBA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984" w:type="dxa"/>
          </w:tcPr>
          <w:p w14:paraId="71938836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Univ Birmingham</w:t>
            </w:r>
          </w:p>
        </w:tc>
        <w:tc>
          <w:tcPr>
            <w:tcW w:w="1701" w:type="dxa"/>
          </w:tcPr>
          <w:p w14:paraId="43DD722F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19</w:t>
            </w:r>
          </w:p>
        </w:tc>
        <w:tc>
          <w:tcPr>
            <w:tcW w:w="1560" w:type="dxa"/>
            <w:vAlign w:val="center"/>
          </w:tcPr>
          <w:p w14:paraId="2172449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England</w:t>
            </w:r>
          </w:p>
        </w:tc>
        <w:tc>
          <w:tcPr>
            <w:tcW w:w="1275" w:type="dxa"/>
          </w:tcPr>
          <w:p w14:paraId="37BD8A87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bCs/>
                <w:color w:val="000000"/>
                <w:sz w:val="20"/>
                <w:szCs w:val="20"/>
                <w:lang w:eastAsia="zh-CN"/>
              </w:rPr>
              <w:t>2</w:t>
            </w: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503</w:t>
            </w:r>
          </w:p>
        </w:tc>
      </w:tr>
      <w:tr w:rsidR="00151511" w:rsidRPr="00151511" w14:paraId="0CC9F57E" w14:textId="77777777" w:rsidTr="00C61EAC">
        <w:trPr>
          <w:trHeight w:val="454"/>
        </w:trPr>
        <w:tc>
          <w:tcPr>
            <w:tcW w:w="959" w:type="dxa"/>
          </w:tcPr>
          <w:p w14:paraId="06CA5A31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984" w:type="dxa"/>
          </w:tcPr>
          <w:p w14:paraId="1BF2C8D1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Univ Milan</w:t>
            </w:r>
          </w:p>
        </w:tc>
        <w:tc>
          <w:tcPr>
            <w:tcW w:w="1701" w:type="dxa"/>
          </w:tcPr>
          <w:p w14:paraId="4C0ECA8C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1560" w:type="dxa"/>
            <w:vAlign w:val="center"/>
          </w:tcPr>
          <w:p w14:paraId="6E7D47C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Italy</w:t>
            </w:r>
          </w:p>
        </w:tc>
        <w:tc>
          <w:tcPr>
            <w:tcW w:w="1275" w:type="dxa"/>
          </w:tcPr>
          <w:p w14:paraId="5737A536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bCs/>
                <w:color w:val="000000"/>
                <w:sz w:val="20"/>
                <w:szCs w:val="20"/>
                <w:lang w:eastAsia="zh-CN"/>
              </w:rPr>
              <w:t>2</w:t>
            </w: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123</w:t>
            </w:r>
          </w:p>
        </w:tc>
      </w:tr>
      <w:tr w:rsidR="00151511" w:rsidRPr="00151511" w14:paraId="74E8DCE7" w14:textId="77777777" w:rsidTr="00C61EAC">
        <w:trPr>
          <w:trHeight w:val="454"/>
        </w:trPr>
        <w:tc>
          <w:tcPr>
            <w:tcW w:w="959" w:type="dxa"/>
          </w:tcPr>
          <w:p w14:paraId="3ADB9354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984" w:type="dxa"/>
          </w:tcPr>
          <w:p w14:paraId="14AFCBF8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Mayo Clin</w:t>
            </w:r>
          </w:p>
        </w:tc>
        <w:tc>
          <w:tcPr>
            <w:tcW w:w="1701" w:type="dxa"/>
          </w:tcPr>
          <w:p w14:paraId="3730A364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1560" w:type="dxa"/>
            <w:vAlign w:val="center"/>
          </w:tcPr>
          <w:p w14:paraId="5FF8F2F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USA</w:t>
            </w:r>
          </w:p>
        </w:tc>
        <w:tc>
          <w:tcPr>
            <w:tcW w:w="1275" w:type="dxa"/>
          </w:tcPr>
          <w:p w14:paraId="6C8CE98E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bCs/>
                <w:color w:val="000000"/>
                <w:sz w:val="20"/>
                <w:szCs w:val="20"/>
                <w:lang w:eastAsia="zh-CN"/>
              </w:rPr>
              <w:t>2</w:t>
            </w: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935</w:t>
            </w:r>
          </w:p>
        </w:tc>
      </w:tr>
      <w:tr w:rsidR="00151511" w:rsidRPr="00151511" w14:paraId="35C32160" w14:textId="77777777" w:rsidTr="00C61EAC">
        <w:trPr>
          <w:trHeight w:val="454"/>
        </w:trPr>
        <w:tc>
          <w:tcPr>
            <w:tcW w:w="959" w:type="dxa"/>
          </w:tcPr>
          <w:p w14:paraId="246F6E8C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984" w:type="dxa"/>
          </w:tcPr>
          <w:p w14:paraId="61F0C899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Newcastle Univ</w:t>
            </w:r>
          </w:p>
        </w:tc>
        <w:tc>
          <w:tcPr>
            <w:tcW w:w="1701" w:type="dxa"/>
          </w:tcPr>
          <w:p w14:paraId="6D4C8A5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1560" w:type="dxa"/>
            <w:vAlign w:val="center"/>
          </w:tcPr>
          <w:p w14:paraId="2C63457B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England</w:t>
            </w:r>
          </w:p>
        </w:tc>
        <w:tc>
          <w:tcPr>
            <w:tcW w:w="1275" w:type="dxa"/>
          </w:tcPr>
          <w:p w14:paraId="776D437E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bCs/>
                <w:color w:val="000000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859</w:t>
            </w:r>
          </w:p>
        </w:tc>
      </w:tr>
      <w:tr w:rsidR="00151511" w:rsidRPr="00151511" w14:paraId="69884814" w14:textId="77777777" w:rsidTr="00C61EAC">
        <w:trPr>
          <w:trHeight w:val="454"/>
        </w:trPr>
        <w:tc>
          <w:tcPr>
            <w:tcW w:w="959" w:type="dxa"/>
          </w:tcPr>
          <w:p w14:paraId="19E4293C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984" w:type="dxa"/>
          </w:tcPr>
          <w:p w14:paraId="610E8F9A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Monash Univ</w:t>
            </w:r>
          </w:p>
        </w:tc>
        <w:tc>
          <w:tcPr>
            <w:tcW w:w="1701" w:type="dxa"/>
          </w:tcPr>
          <w:p w14:paraId="06A7F89E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1560" w:type="dxa"/>
            <w:vAlign w:val="center"/>
          </w:tcPr>
          <w:p w14:paraId="74F9679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Australia</w:t>
            </w:r>
          </w:p>
        </w:tc>
        <w:tc>
          <w:tcPr>
            <w:tcW w:w="1275" w:type="dxa"/>
          </w:tcPr>
          <w:p w14:paraId="1F06F8EC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bCs/>
                <w:color w:val="000000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403</w:t>
            </w:r>
          </w:p>
        </w:tc>
      </w:tr>
      <w:tr w:rsidR="00151511" w:rsidRPr="00151511" w14:paraId="220E2E28" w14:textId="77777777" w:rsidTr="00C61EAC">
        <w:trPr>
          <w:trHeight w:val="454"/>
        </w:trPr>
        <w:tc>
          <w:tcPr>
            <w:tcW w:w="959" w:type="dxa"/>
          </w:tcPr>
          <w:p w14:paraId="2C421902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984" w:type="dxa"/>
          </w:tcPr>
          <w:p w14:paraId="7EC63139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Univ Toronto</w:t>
            </w:r>
          </w:p>
        </w:tc>
        <w:tc>
          <w:tcPr>
            <w:tcW w:w="1701" w:type="dxa"/>
          </w:tcPr>
          <w:p w14:paraId="145B4D3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560" w:type="dxa"/>
            <w:vAlign w:val="center"/>
          </w:tcPr>
          <w:p w14:paraId="0DAD49D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Canada</w:t>
            </w:r>
          </w:p>
        </w:tc>
        <w:tc>
          <w:tcPr>
            <w:tcW w:w="1275" w:type="dxa"/>
          </w:tcPr>
          <w:p w14:paraId="4BF5717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bCs/>
                <w:color w:val="000000"/>
                <w:sz w:val="20"/>
                <w:szCs w:val="20"/>
                <w:lang w:eastAsia="zh-CN"/>
              </w:rPr>
              <w:t>2</w:t>
            </w: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462</w:t>
            </w:r>
          </w:p>
        </w:tc>
      </w:tr>
      <w:tr w:rsidR="00151511" w:rsidRPr="00151511" w14:paraId="69E94155" w14:textId="77777777" w:rsidTr="00C61EAC">
        <w:trPr>
          <w:trHeight w:val="454"/>
        </w:trPr>
        <w:tc>
          <w:tcPr>
            <w:tcW w:w="959" w:type="dxa"/>
          </w:tcPr>
          <w:p w14:paraId="150D8528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984" w:type="dxa"/>
          </w:tcPr>
          <w:p w14:paraId="42BA1417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Emory Univ</w:t>
            </w:r>
          </w:p>
        </w:tc>
        <w:tc>
          <w:tcPr>
            <w:tcW w:w="1701" w:type="dxa"/>
          </w:tcPr>
          <w:p w14:paraId="77A197E9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560" w:type="dxa"/>
            <w:vAlign w:val="center"/>
          </w:tcPr>
          <w:p w14:paraId="0D4DB28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USA</w:t>
            </w:r>
          </w:p>
        </w:tc>
        <w:tc>
          <w:tcPr>
            <w:tcW w:w="1275" w:type="dxa"/>
          </w:tcPr>
          <w:p w14:paraId="78C648F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bCs/>
                <w:color w:val="000000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206</w:t>
            </w:r>
          </w:p>
        </w:tc>
      </w:tr>
      <w:tr w:rsidR="00151511" w:rsidRPr="00151511" w14:paraId="37C45EFB" w14:textId="77777777" w:rsidTr="00C61EAC">
        <w:trPr>
          <w:trHeight w:val="454"/>
        </w:trPr>
        <w:tc>
          <w:tcPr>
            <w:tcW w:w="959" w:type="dxa"/>
          </w:tcPr>
          <w:p w14:paraId="347C366B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984" w:type="dxa"/>
          </w:tcPr>
          <w:p w14:paraId="1C4066DD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Arizona State Univ</w:t>
            </w:r>
          </w:p>
        </w:tc>
        <w:tc>
          <w:tcPr>
            <w:tcW w:w="1701" w:type="dxa"/>
          </w:tcPr>
          <w:p w14:paraId="6DB6E467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560" w:type="dxa"/>
            <w:vAlign w:val="center"/>
          </w:tcPr>
          <w:p w14:paraId="1C65457F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USA</w:t>
            </w:r>
          </w:p>
        </w:tc>
        <w:tc>
          <w:tcPr>
            <w:tcW w:w="1275" w:type="dxa"/>
          </w:tcPr>
          <w:p w14:paraId="7427D93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bCs/>
                <w:color w:val="000000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829</w:t>
            </w:r>
          </w:p>
        </w:tc>
      </w:tr>
      <w:tr w:rsidR="00151511" w:rsidRPr="00151511" w14:paraId="5F21E45D" w14:textId="77777777" w:rsidTr="00C61EAC">
        <w:trPr>
          <w:trHeight w:val="454"/>
        </w:trPr>
        <w:tc>
          <w:tcPr>
            <w:tcW w:w="959" w:type="dxa"/>
          </w:tcPr>
          <w:p w14:paraId="037C9AC7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984" w:type="dxa"/>
          </w:tcPr>
          <w:p w14:paraId="5E4A84BB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Toyama Univ</w:t>
            </w:r>
          </w:p>
        </w:tc>
        <w:tc>
          <w:tcPr>
            <w:tcW w:w="1701" w:type="dxa"/>
          </w:tcPr>
          <w:p w14:paraId="6BD2DBDD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560" w:type="dxa"/>
            <w:vAlign w:val="center"/>
          </w:tcPr>
          <w:p w14:paraId="134996A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Denmark</w:t>
            </w:r>
          </w:p>
        </w:tc>
        <w:tc>
          <w:tcPr>
            <w:tcW w:w="1275" w:type="dxa"/>
          </w:tcPr>
          <w:p w14:paraId="0924AD8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bCs/>
                <w:color w:val="000000"/>
                <w:sz w:val="20"/>
                <w:szCs w:val="20"/>
                <w:lang w:eastAsia="zh-CN"/>
              </w:rPr>
              <w:t>8</w:t>
            </w:r>
            <w:r w:rsidRPr="00151511">
              <w:rPr>
                <w:rFonts w:eastAsia="宋体" w:cs="Times New Roman"/>
                <w:bCs/>
                <w:color w:val="000000"/>
                <w:sz w:val="20"/>
                <w:szCs w:val="20"/>
                <w:lang w:eastAsia="zh-CN"/>
              </w:rPr>
              <w:t>53</w:t>
            </w:r>
          </w:p>
        </w:tc>
      </w:tr>
    </w:tbl>
    <w:p w14:paraId="5ED51136" w14:textId="77777777" w:rsidR="00151511" w:rsidRDefault="00151511" w:rsidP="00151511">
      <w:pPr>
        <w:spacing w:before="0" w:after="0" w:line="360" w:lineRule="auto"/>
        <w:jc w:val="both"/>
        <w:rPr>
          <w:rFonts w:eastAsia="宋体" w:cs="Times New Roman"/>
          <w:b/>
          <w:bCs/>
          <w:sz w:val="20"/>
          <w:szCs w:val="20"/>
          <w:lang w:eastAsia="zh-CN"/>
        </w:rPr>
      </w:pPr>
    </w:p>
    <w:p w14:paraId="2F197366" w14:textId="77777777" w:rsidR="00151511" w:rsidRDefault="00151511" w:rsidP="00151511">
      <w:pPr>
        <w:spacing w:before="0" w:after="0" w:line="360" w:lineRule="auto"/>
        <w:jc w:val="both"/>
        <w:rPr>
          <w:rFonts w:eastAsia="宋体" w:cs="Times New Roman"/>
          <w:b/>
          <w:bCs/>
          <w:sz w:val="20"/>
          <w:szCs w:val="20"/>
          <w:lang w:eastAsia="zh-CN"/>
        </w:rPr>
      </w:pPr>
    </w:p>
    <w:p w14:paraId="5BEA5A7B" w14:textId="2ADAC7CD" w:rsidR="00151511" w:rsidRPr="00151511" w:rsidRDefault="00151511" w:rsidP="00151511">
      <w:pPr>
        <w:spacing w:before="0" w:after="0" w:line="360" w:lineRule="auto"/>
        <w:jc w:val="both"/>
        <w:rPr>
          <w:rFonts w:eastAsia="宋体" w:cs="Times New Roman"/>
          <w:bCs/>
          <w:sz w:val="20"/>
          <w:szCs w:val="20"/>
          <w:lang w:eastAsia="zh-CN"/>
        </w:rPr>
      </w:pPr>
      <w:r w:rsidRPr="00151511">
        <w:rPr>
          <w:rFonts w:eastAsia="宋体" w:cs="Times New Roman"/>
          <w:b/>
          <w:bCs/>
          <w:sz w:val="20"/>
          <w:szCs w:val="20"/>
          <w:lang w:eastAsia="zh-CN"/>
        </w:rPr>
        <w:t xml:space="preserve">Table </w:t>
      </w:r>
      <w:r w:rsidRPr="00151511">
        <w:rPr>
          <w:rFonts w:eastAsia="宋体" w:cs="Times New Roman" w:hint="eastAsia"/>
          <w:b/>
          <w:bCs/>
          <w:sz w:val="20"/>
          <w:szCs w:val="20"/>
          <w:lang w:eastAsia="zh-CN"/>
        </w:rPr>
        <w:t>4.</w:t>
      </w:r>
      <w:r w:rsidRPr="00151511">
        <w:rPr>
          <w:rFonts w:eastAsia="宋体" w:cs="Times New Roman"/>
          <w:bCs/>
          <w:sz w:val="20"/>
          <w:szCs w:val="20"/>
          <w:lang w:eastAsia="zh-CN"/>
        </w:rPr>
        <w:t xml:space="preserve"> Journals with more than </w:t>
      </w:r>
      <w:r w:rsidR="00BC04FB">
        <w:rPr>
          <w:rFonts w:eastAsia="宋体" w:cs="Times New Roman" w:hint="eastAsia"/>
          <w:bCs/>
          <w:sz w:val="20"/>
          <w:szCs w:val="20"/>
          <w:lang w:eastAsia="zh-CN"/>
        </w:rPr>
        <w:t>five</w:t>
      </w:r>
      <w:r w:rsidRPr="00151511">
        <w:rPr>
          <w:rFonts w:eastAsia="宋体" w:cs="Times New Roman"/>
          <w:bCs/>
          <w:sz w:val="20"/>
          <w:szCs w:val="20"/>
          <w:lang w:eastAsia="zh-CN"/>
        </w:rPr>
        <w:t xml:space="preserve"> articles were published. </w:t>
      </w:r>
    </w:p>
    <w:tbl>
      <w:tblPr>
        <w:tblW w:w="8714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6"/>
        <w:gridCol w:w="2552"/>
        <w:gridCol w:w="1634"/>
        <w:gridCol w:w="1559"/>
        <w:gridCol w:w="2193"/>
      </w:tblGrid>
      <w:tr w:rsidR="00151511" w:rsidRPr="00151511" w14:paraId="14FAB10D" w14:textId="77777777" w:rsidTr="00151511">
        <w:trPr>
          <w:trHeight w:val="454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4F987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Rank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C57C40" w14:textId="77777777" w:rsidR="00151511" w:rsidRPr="00151511" w:rsidRDefault="00151511" w:rsidP="00151511">
            <w:pPr>
              <w:spacing w:before="0" w:after="0" w:line="360" w:lineRule="auto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Journal Name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C4C5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No. of Articles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48613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Citations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6781C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Journal Impact Factor</w:t>
            </w:r>
          </w:p>
        </w:tc>
      </w:tr>
      <w:tr w:rsidR="00151511" w:rsidRPr="00151511" w14:paraId="679F5A52" w14:textId="77777777" w:rsidTr="00151511">
        <w:trPr>
          <w:trHeight w:val="454"/>
        </w:trPr>
        <w:tc>
          <w:tcPr>
            <w:tcW w:w="776" w:type="dxa"/>
            <w:tcBorders>
              <w:top w:val="single" w:sz="4" w:space="0" w:color="auto"/>
            </w:tcBorders>
          </w:tcPr>
          <w:p w14:paraId="7067025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3AD16313" w14:textId="77777777" w:rsidR="00151511" w:rsidRPr="00151511" w:rsidRDefault="00151511" w:rsidP="00151511">
            <w:pPr>
              <w:spacing w:before="0" w:after="0" w:line="360" w:lineRule="auto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Hepatology</w:t>
            </w:r>
          </w:p>
        </w:tc>
        <w:tc>
          <w:tcPr>
            <w:tcW w:w="1634" w:type="dxa"/>
            <w:tcBorders>
              <w:top w:val="single" w:sz="4" w:space="0" w:color="auto"/>
            </w:tcBorders>
          </w:tcPr>
          <w:p w14:paraId="0DD2B4D6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7701C8E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3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397</w:t>
            </w:r>
          </w:p>
        </w:tc>
        <w:tc>
          <w:tcPr>
            <w:tcW w:w="2193" w:type="dxa"/>
            <w:tcBorders>
              <w:top w:val="single" w:sz="4" w:space="0" w:color="auto"/>
            </w:tcBorders>
            <w:vAlign w:val="center"/>
          </w:tcPr>
          <w:p w14:paraId="530450DF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17.425</w:t>
            </w:r>
          </w:p>
        </w:tc>
      </w:tr>
      <w:tr w:rsidR="00151511" w:rsidRPr="00151511" w14:paraId="25803CD0" w14:textId="77777777" w:rsidTr="00151511">
        <w:trPr>
          <w:trHeight w:val="454"/>
        </w:trPr>
        <w:tc>
          <w:tcPr>
            <w:tcW w:w="776" w:type="dxa"/>
          </w:tcPr>
          <w:p w14:paraId="6758D76D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552" w:type="dxa"/>
          </w:tcPr>
          <w:p w14:paraId="564D500E" w14:textId="77777777" w:rsidR="00151511" w:rsidRPr="00151511" w:rsidRDefault="00151511" w:rsidP="00151511">
            <w:pPr>
              <w:spacing w:before="0" w:after="0" w:line="360" w:lineRule="auto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Journal of Hepatology</w:t>
            </w:r>
          </w:p>
        </w:tc>
        <w:tc>
          <w:tcPr>
            <w:tcW w:w="1634" w:type="dxa"/>
          </w:tcPr>
          <w:p w14:paraId="6F0512A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559" w:type="dxa"/>
          </w:tcPr>
          <w:p w14:paraId="30A9B49D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405</w:t>
            </w:r>
          </w:p>
        </w:tc>
        <w:tc>
          <w:tcPr>
            <w:tcW w:w="2193" w:type="dxa"/>
            <w:vAlign w:val="center"/>
          </w:tcPr>
          <w:p w14:paraId="7982AEFE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25.083</w:t>
            </w:r>
          </w:p>
        </w:tc>
      </w:tr>
      <w:tr w:rsidR="00151511" w:rsidRPr="00151511" w14:paraId="5E8A364F" w14:textId="77777777" w:rsidTr="00151511">
        <w:trPr>
          <w:trHeight w:val="454"/>
        </w:trPr>
        <w:tc>
          <w:tcPr>
            <w:tcW w:w="776" w:type="dxa"/>
          </w:tcPr>
          <w:p w14:paraId="43A9B8AD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2552" w:type="dxa"/>
          </w:tcPr>
          <w:p w14:paraId="611E98C4" w14:textId="77777777" w:rsidR="00151511" w:rsidRPr="00151511" w:rsidRDefault="00151511" w:rsidP="00151511">
            <w:pPr>
              <w:spacing w:before="0" w:after="0" w:line="360" w:lineRule="auto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Gastroenterology</w:t>
            </w:r>
          </w:p>
        </w:tc>
        <w:tc>
          <w:tcPr>
            <w:tcW w:w="1634" w:type="dxa"/>
          </w:tcPr>
          <w:p w14:paraId="6DD781D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559" w:type="dxa"/>
          </w:tcPr>
          <w:p w14:paraId="7F9C67B2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291</w:t>
            </w:r>
          </w:p>
        </w:tc>
        <w:tc>
          <w:tcPr>
            <w:tcW w:w="2193" w:type="dxa"/>
            <w:vAlign w:val="center"/>
          </w:tcPr>
          <w:p w14:paraId="2E43150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22.682</w:t>
            </w:r>
          </w:p>
        </w:tc>
      </w:tr>
      <w:tr w:rsidR="00151511" w:rsidRPr="00151511" w14:paraId="30DC09E6" w14:textId="77777777" w:rsidTr="00151511">
        <w:trPr>
          <w:trHeight w:val="454"/>
        </w:trPr>
        <w:tc>
          <w:tcPr>
            <w:tcW w:w="776" w:type="dxa"/>
          </w:tcPr>
          <w:p w14:paraId="7752583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2552" w:type="dxa"/>
          </w:tcPr>
          <w:p w14:paraId="2D0EA520" w14:textId="77777777" w:rsidR="00151511" w:rsidRPr="00151511" w:rsidRDefault="00151511" w:rsidP="00151511">
            <w:pPr>
              <w:spacing w:before="0" w:after="0" w:line="360" w:lineRule="auto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Journal of Autoimmunity</w:t>
            </w:r>
          </w:p>
        </w:tc>
        <w:tc>
          <w:tcPr>
            <w:tcW w:w="1634" w:type="dxa"/>
          </w:tcPr>
          <w:p w14:paraId="25E1753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559" w:type="dxa"/>
          </w:tcPr>
          <w:p w14:paraId="5559DE52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6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74</w:t>
            </w:r>
          </w:p>
        </w:tc>
        <w:tc>
          <w:tcPr>
            <w:tcW w:w="2193" w:type="dxa"/>
            <w:vAlign w:val="center"/>
          </w:tcPr>
          <w:p w14:paraId="73B2E3DA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7.094</w:t>
            </w:r>
          </w:p>
        </w:tc>
      </w:tr>
      <w:tr w:rsidR="00151511" w:rsidRPr="00151511" w14:paraId="3CC1D1B3" w14:textId="77777777" w:rsidTr="00151511">
        <w:trPr>
          <w:trHeight w:val="454"/>
        </w:trPr>
        <w:tc>
          <w:tcPr>
            <w:tcW w:w="776" w:type="dxa"/>
          </w:tcPr>
          <w:p w14:paraId="04747F0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2552" w:type="dxa"/>
          </w:tcPr>
          <w:p w14:paraId="04399AB8" w14:textId="77777777" w:rsidR="00151511" w:rsidRPr="00151511" w:rsidRDefault="00151511" w:rsidP="00151511">
            <w:pPr>
              <w:spacing w:before="0" w:after="0" w:line="360" w:lineRule="auto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Gut</w:t>
            </w:r>
          </w:p>
        </w:tc>
        <w:tc>
          <w:tcPr>
            <w:tcW w:w="1634" w:type="dxa"/>
          </w:tcPr>
          <w:p w14:paraId="30F1254A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559" w:type="dxa"/>
          </w:tcPr>
          <w:p w14:paraId="2E30545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6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2193" w:type="dxa"/>
            <w:vAlign w:val="center"/>
          </w:tcPr>
          <w:p w14:paraId="0F1F3F0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23.059</w:t>
            </w:r>
          </w:p>
        </w:tc>
      </w:tr>
    </w:tbl>
    <w:p w14:paraId="6CBCA202" w14:textId="7E6CEBD7" w:rsidR="00151511" w:rsidRDefault="00151511" w:rsidP="00151511">
      <w:pPr>
        <w:spacing w:before="0" w:after="0" w:line="360" w:lineRule="auto"/>
        <w:jc w:val="both"/>
        <w:rPr>
          <w:rFonts w:eastAsia="宋体" w:cs="Times New Roman"/>
          <w:sz w:val="20"/>
          <w:szCs w:val="20"/>
          <w:lang w:eastAsia="zh-CN"/>
        </w:rPr>
      </w:pPr>
      <w:r w:rsidRPr="00151511">
        <w:rPr>
          <w:rFonts w:eastAsia="宋体" w:cs="Times New Roman"/>
          <w:sz w:val="20"/>
          <w:szCs w:val="20"/>
          <w:lang w:eastAsia="zh-CN"/>
        </w:rPr>
        <w:t>Journal impact factor based on Thomson Reuters Web of Knowledge Journal Citation Reports Ranking (2020).</w:t>
      </w:r>
    </w:p>
    <w:p w14:paraId="33A08480" w14:textId="77777777" w:rsidR="00151511" w:rsidRPr="00151511" w:rsidRDefault="00151511" w:rsidP="00151511">
      <w:pPr>
        <w:spacing w:before="0" w:after="0" w:line="360" w:lineRule="auto"/>
        <w:jc w:val="both"/>
        <w:rPr>
          <w:rFonts w:eastAsia="宋体" w:cs="Times New Roman"/>
          <w:sz w:val="20"/>
          <w:szCs w:val="20"/>
          <w:lang w:eastAsia="zh-CN"/>
        </w:rPr>
      </w:pPr>
    </w:p>
    <w:p w14:paraId="2C8B07F2" w14:textId="77777777" w:rsidR="00151511" w:rsidRPr="00151511" w:rsidRDefault="00151511" w:rsidP="00151511">
      <w:pPr>
        <w:spacing w:before="0" w:after="0" w:line="360" w:lineRule="auto"/>
        <w:jc w:val="both"/>
        <w:rPr>
          <w:rFonts w:eastAsia="宋体" w:cs="Times New Roman"/>
          <w:color w:val="FF0000"/>
          <w:sz w:val="20"/>
          <w:szCs w:val="20"/>
          <w:lang w:eastAsia="zh-CN"/>
        </w:rPr>
      </w:pPr>
      <w:r w:rsidRPr="00151511">
        <w:rPr>
          <w:rFonts w:eastAsia="宋体" w:cs="Times New Roman"/>
          <w:b/>
          <w:bCs/>
          <w:sz w:val="20"/>
          <w:szCs w:val="20"/>
          <w:lang w:eastAsia="zh-CN"/>
        </w:rPr>
        <w:lastRenderedPageBreak/>
        <w:t xml:space="preserve">Table </w:t>
      </w:r>
      <w:r w:rsidRPr="00151511">
        <w:rPr>
          <w:rFonts w:eastAsia="宋体" w:cs="Times New Roman" w:hint="eastAsia"/>
          <w:b/>
          <w:bCs/>
          <w:sz w:val="20"/>
          <w:szCs w:val="20"/>
          <w:lang w:eastAsia="zh-CN"/>
        </w:rPr>
        <w:t>5</w:t>
      </w:r>
      <w:r w:rsidRPr="00151511">
        <w:rPr>
          <w:rFonts w:eastAsia="宋体" w:cs="Times New Roman"/>
          <w:b/>
          <w:bCs/>
          <w:sz w:val="20"/>
          <w:szCs w:val="20"/>
          <w:lang w:eastAsia="zh-CN"/>
        </w:rPr>
        <w:t xml:space="preserve">. </w:t>
      </w:r>
      <w:r w:rsidRPr="00151511">
        <w:rPr>
          <w:rFonts w:eastAsia="宋体" w:cs="Times New Roman"/>
          <w:sz w:val="20"/>
          <w:szCs w:val="20"/>
          <w:lang w:eastAsia="zh-CN"/>
        </w:rPr>
        <w:t>The top ten authors with the highest number of manuscripts in</w:t>
      </w:r>
      <w:r w:rsidRPr="00151511">
        <w:rPr>
          <w:rFonts w:eastAsia="宋体" w:cs="Times New Roman" w:hint="eastAsia"/>
          <w:sz w:val="20"/>
          <w:szCs w:val="20"/>
          <w:lang w:eastAsia="zh-CN"/>
        </w:rPr>
        <w:t xml:space="preserve"> the T100</w:t>
      </w:r>
      <w:r w:rsidRPr="00151511">
        <w:rPr>
          <w:rFonts w:eastAsia="宋体" w:cs="Times New Roman"/>
          <w:sz w:val="20"/>
          <w:szCs w:val="20"/>
          <w:lang w:eastAsia="zh-CN"/>
        </w:rPr>
        <w:t xml:space="preserve"> articles.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43"/>
        <w:gridCol w:w="2026"/>
        <w:gridCol w:w="1559"/>
        <w:gridCol w:w="1944"/>
      </w:tblGrid>
      <w:tr w:rsidR="00151511" w:rsidRPr="00151511" w14:paraId="211CF349" w14:textId="77777777" w:rsidTr="00151511">
        <w:trPr>
          <w:trHeight w:val="454"/>
        </w:trPr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1AE9B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Rank</w:t>
            </w: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042296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Author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AFA9C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No. of Articles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50106C7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Citations</w:t>
            </w:r>
          </w:p>
        </w:tc>
      </w:tr>
      <w:tr w:rsidR="00151511" w:rsidRPr="00151511" w14:paraId="15E98112" w14:textId="77777777" w:rsidTr="00151511">
        <w:trPr>
          <w:trHeight w:val="454"/>
        </w:trPr>
        <w:tc>
          <w:tcPr>
            <w:tcW w:w="1343" w:type="dxa"/>
            <w:tcBorders>
              <w:top w:val="single" w:sz="4" w:space="0" w:color="auto"/>
            </w:tcBorders>
          </w:tcPr>
          <w:p w14:paraId="6EADEEE4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</w:tcBorders>
          </w:tcPr>
          <w:p w14:paraId="21B28396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Gershwin ME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86ED467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1944" w:type="dxa"/>
            <w:tcBorders>
              <w:top w:val="single" w:sz="4" w:space="0" w:color="auto"/>
            </w:tcBorders>
          </w:tcPr>
          <w:p w14:paraId="2ED7552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4007</w:t>
            </w:r>
          </w:p>
        </w:tc>
      </w:tr>
      <w:tr w:rsidR="00151511" w:rsidRPr="00151511" w14:paraId="646C03E8" w14:textId="77777777" w:rsidTr="00151511">
        <w:trPr>
          <w:trHeight w:val="454"/>
        </w:trPr>
        <w:tc>
          <w:tcPr>
            <w:tcW w:w="1343" w:type="dxa"/>
          </w:tcPr>
          <w:p w14:paraId="3A095E37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026" w:type="dxa"/>
          </w:tcPr>
          <w:p w14:paraId="1470332F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Hirschfield GM</w:t>
            </w:r>
          </w:p>
        </w:tc>
        <w:tc>
          <w:tcPr>
            <w:tcW w:w="1559" w:type="dxa"/>
          </w:tcPr>
          <w:p w14:paraId="2F684554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1944" w:type="dxa"/>
          </w:tcPr>
          <w:p w14:paraId="4E38644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3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921</w:t>
            </w:r>
          </w:p>
        </w:tc>
      </w:tr>
      <w:tr w:rsidR="00151511" w:rsidRPr="00151511" w14:paraId="65455E33" w14:textId="77777777" w:rsidTr="00151511">
        <w:trPr>
          <w:trHeight w:val="454"/>
        </w:trPr>
        <w:tc>
          <w:tcPr>
            <w:tcW w:w="1343" w:type="dxa"/>
          </w:tcPr>
          <w:p w14:paraId="1EDECEC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2026" w:type="dxa"/>
          </w:tcPr>
          <w:p w14:paraId="64AE4BB4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Invernizzi P</w:t>
            </w:r>
          </w:p>
        </w:tc>
        <w:tc>
          <w:tcPr>
            <w:tcW w:w="1559" w:type="dxa"/>
          </w:tcPr>
          <w:p w14:paraId="0D9B1BD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1944" w:type="dxa"/>
          </w:tcPr>
          <w:p w14:paraId="1287228E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2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563</w:t>
            </w:r>
          </w:p>
        </w:tc>
      </w:tr>
      <w:tr w:rsidR="00151511" w:rsidRPr="00151511" w14:paraId="6A9F5767" w14:textId="77777777" w:rsidTr="00151511">
        <w:trPr>
          <w:trHeight w:val="454"/>
        </w:trPr>
        <w:tc>
          <w:tcPr>
            <w:tcW w:w="1343" w:type="dxa"/>
          </w:tcPr>
          <w:p w14:paraId="313BC8B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2026" w:type="dxa"/>
          </w:tcPr>
          <w:p w14:paraId="5D8F9D19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Lleo A</w:t>
            </w:r>
          </w:p>
        </w:tc>
        <w:tc>
          <w:tcPr>
            <w:tcW w:w="1559" w:type="dxa"/>
          </w:tcPr>
          <w:p w14:paraId="698A9DA6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1944" w:type="dxa"/>
          </w:tcPr>
          <w:p w14:paraId="05CED3C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740</w:t>
            </w:r>
          </w:p>
        </w:tc>
      </w:tr>
      <w:tr w:rsidR="00151511" w:rsidRPr="00151511" w14:paraId="55CCA905" w14:textId="77777777" w:rsidTr="00151511">
        <w:trPr>
          <w:trHeight w:val="454"/>
        </w:trPr>
        <w:tc>
          <w:tcPr>
            <w:tcW w:w="1343" w:type="dxa"/>
          </w:tcPr>
          <w:p w14:paraId="7DE8E9A6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2026" w:type="dxa"/>
          </w:tcPr>
          <w:p w14:paraId="6B588056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Coppel RL</w:t>
            </w:r>
          </w:p>
        </w:tc>
        <w:tc>
          <w:tcPr>
            <w:tcW w:w="1559" w:type="dxa"/>
          </w:tcPr>
          <w:p w14:paraId="3D4046D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944" w:type="dxa"/>
          </w:tcPr>
          <w:p w14:paraId="65E9CF9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262</w:t>
            </w:r>
          </w:p>
        </w:tc>
      </w:tr>
      <w:tr w:rsidR="00151511" w:rsidRPr="00151511" w14:paraId="339946C0" w14:textId="77777777" w:rsidTr="00151511">
        <w:trPr>
          <w:trHeight w:val="454"/>
        </w:trPr>
        <w:tc>
          <w:tcPr>
            <w:tcW w:w="1343" w:type="dxa"/>
          </w:tcPr>
          <w:p w14:paraId="277CF943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2026" w:type="dxa"/>
          </w:tcPr>
          <w:p w14:paraId="00734E05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Poupon R</w:t>
            </w:r>
          </w:p>
        </w:tc>
        <w:tc>
          <w:tcPr>
            <w:tcW w:w="1559" w:type="dxa"/>
          </w:tcPr>
          <w:p w14:paraId="6284BEA7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944" w:type="dxa"/>
          </w:tcPr>
          <w:p w14:paraId="1992E649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2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287</w:t>
            </w:r>
          </w:p>
        </w:tc>
      </w:tr>
      <w:tr w:rsidR="00151511" w:rsidRPr="00151511" w14:paraId="33DEE72A" w14:textId="77777777" w:rsidTr="00151511">
        <w:trPr>
          <w:trHeight w:val="454"/>
        </w:trPr>
        <w:tc>
          <w:tcPr>
            <w:tcW w:w="1343" w:type="dxa"/>
          </w:tcPr>
          <w:p w14:paraId="1A3C117D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2026" w:type="dxa"/>
          </w:tcPr>
          <w:p w14:paraId="0D77A4CE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Ansari AA</w:t>
            </w:r>
          </w:p>
        </w:tc>
        <w:tc>
          <w:tcPr>
            <w:tcW w:w="1559" w:type="dxa"/>
          </w:tcPr>
          <w:p w14:paraId="41FA35BF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944" w:type="dxa"/>
          </w:tcPr>
          <w:p w14:paraId="36ECC21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078</w:t>
            </w:r>
          </w:p>
        </w:tc>
      </w:tr>
      <w:tr w:rsidR="00151511" w:rsidRPr="00151511" w14:paraId="53E52820" w14:textId="77777777" w:rsidTr="00151511">
        <w:trPr>
          <w:trHeight w:val="454"/>
        </w:trPr>
        <w:tc>
          <w:tcPr>
            <w:tcW w:w="1343" w:type="dxa"/>
          </w:tcPr>
          <w:p w14:paraId="095704F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2026" w:type="dxa"/>
          </w:tcPr>
          <w:p w14:paraId="6A651405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Tsuneyama K</w:t>
            </w:r>
          </w:p>
        </w:tc>
        <w:tc>
          <w:tcPr>
            <w:tcW w:w="1559" w:type="dxa"/>
          </w:tcPr>
          <w:p w14:paraId="42BE03CB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944" w:type="dxa"/>
          </w:tcPr>
          <w:p w14:paraId="0EA465E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8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53</w:t>
            </w:r>
          </w:p>
        </w:tc>
      </w:tr>
      <w:tr w:rsidR="00151511" w:rsidRPr="00151511" w14:paraId="6517E5EA" w14:textId="77777777" w:rsidTr="00151511">
        <w:trPr>
          <w:trHeight w:val="454"/>
        </w:trPr>
        <w:tc>
          <w:tcPr>
            <w:tcW w:w="1343" w:type="dxa"/>
          </w:tcPr>
          <w:p w14:paraId="1941471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2026" w:type="dxa"/>
          </w:tcPr>
          <w:p w14:paraId="785113AB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Beuers U</w:t>
            </w:r>
          </w:p>
        </w:tc>
        <w:tc>
          <w:tcPr>
            <w:tcW w:w="1559" w:type="dxa"/>
          </w:tcPr>
          <w:p w14:paraId="596C90EA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944" w:type="dxa"/>
          </w:tcPr>
          <w:p w14:paraId="35003C59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578</w:t>
            </w:r>
          </w:p>
        </w:tc>
      </w:tr>
      <w:tr w:rsidR="00151511" w:rsidRPr="00151511" w14:paraId="2507FA66" w14:textId="77777777" w:rsidTr="00151511">
        <w:trPr>
          <w:trHeight w:val="454"/>
        </w:trPr>
        <w:tc>
          <w:tcPr>
            <w:tcW w:w="1343" w:type="dxa"/>
          </w:tcPr>
          <w:p w14:paraId="60DC3C1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2026" w:type="dxa"/>
          </w:tcPr>
          <w:p w14:paraId="7BF92DE4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Pares A</w:t>
            </w:r>
          </w:p>
        </w:tc>
        <w:tc>
          <w:tcPr>
            <w:tcW w:w="1559" w:type="dxa"/>
          </w:tcPr>
          <w:p w14:paraId="21627C3D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944" w:type="dxa"/>
          </w:tcPr>
          <w:p w14:paraId="5A45061A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 w:hint="eastAsia"/>
                <w:sz w:val="20"/>
                <w:szCs w:val="20"/>
                <w:lang w:eastAsia="zh-CN"/>
              </w:rPr>
              <w:t>1</w:t>
            </w: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136</w:t>
            </w:r>
          </w:p>
        </w:tc>
      </w:tr>
    </w:tbl>
    <w:p w14:paraId="73081102" w14:textId="77777777" w:rsidR="00151511" w:rsidRDefault="00151511" w:rsidP="00E80245">
      <w:pPr>
        <w:spacing w:line="360" w:lineRule="auto"/>
        <w:rPr>
          <w:b/>
          <w:bCs/>
          <w:sz w:val="20"/>
          <w:szCs w:val="20"/>
          <w:lang w:eastAsia="zh-CN"/>
        </w:rPr>
      </w:pPr>
    </w:p>
    <w:p w14:paraId="010BB984" w14:textId="4D33F73A" w:rsidR="00151511" w:rsidRDefault="00151511" w:rsidP="00151511">
      <w:pPr>
        <w:spacing w:line="360" w:lineRule="auto"/>
        <w:contextualSpacing/>
        <w:rPr>
          <w:rFonts w:eastAsia="宋体" w:cs="Times New Roman"/>
          <w:bCs/>
          <w:sz w:val="21"/>
          <w:szCs w:val="21"/>
          <w:lang w:eastAsia="zh-CN"/>
        </w:rPr>
      </w:pPr>
      <w:r w:rsidRPr="00151511">
        <w:rPr>
          <w:rFonts w:eastAsia="宋体" w:cs="Times New Roman"/>
          <w:b/>
          <w:bCs/>
          <w:sz w:val="21"/>
          <w:szCs w:val="21"/>
          <w:lang w:eastAsia="zh-CN"/>
        </w:rPr>
        <w:t xml:space="preserve">Table </w:t>
      </w:r>
      <w:r w:rsidRPr="00151511">
        <w:rPr>
          <w:rFonts w:eastAsia="宋体" w:cs="Times New Roman" w:hint="eastAsia"/>
          <w:b/>
          <w:bCs/>
          <w:sz w:val="21"/>
          <w:szCs w:val="21"/>
          <w:lang w:eastAsia="zh-CN"/>
        </w:rPr>
        <w:t>6.</w:t>
      </w:r>
      <w:r w:rsidRPr="00151511">
        <w:rPr>
          <w:rFonts w:eastAsia="宋体" w:cs="Times New Roman"/>
          <w:b/>
          <w:bCs/>
          <w:sz w:val="21"/>
          <w:szCs w:val="21"/>
          <w:lang w:eastAsia="zh-CN"/>
        </w:rPr>
        <w:t xml:space="preserve"> </w:t>
      </w:r>
      <w:r w:rsidRPr="00151511">
        <w:rPr>
          <w:rFonts w:eastAsia="宋体" w:cs="Times New Roman"/>
          <w:bCs/>
          <w:sz w:val="21"/>
          <w:szCs w:val="21"/>
          <w:lang w:eastAsia="zh-CN"/>
        </w:rPr>
        <w:t>The top ten keywords ranked by the citation number of articles.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2943"/>
        <w:gridCol w:w="1276"/>
        <w:gridCol w:w="1701"/>
      </w:tblGrid>
      <w:tr w:rsidR="00151511" w:rsidRPr="00151511" w14:paraId="0756373C" w14:textId="77777777" w:rsidTr="00C61EAC">
        <w:trPr>
          <w:trHeight w:val="454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713DBD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Rank</w:t>
            </w: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A3DE5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Keyword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569E9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Count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BCE2D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Centrality</w:t>
            </w:r>
          </w:p>
        </w:tc>
      </w:tr>
      <w:tr w:rsidR="00151511" w:rsidRPr="00151511" w14:paraId="552FC79B" w14:textId="77777777" w:rsidTr="00C61EAC">
        <w:trPr>
          <w:trHeight w:val="454"/>
        </w:trPr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1919AF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943" w:type="dxa"/>
            <w:tcBorders>
              <w:top w:val="single" w:sz="4" w:space="0" w:color="auto"/>
            </w:tcBorders>
          </w:tcPr>
          <w:p w14:paraId="19F2C8FA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Biochemical response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214F11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871EA2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0.24</w:t>
            </w:r>
          </w:p>
        </w:tc>
      </w:tr>
      <w:tr w:rsidR="00151511" w:rsidRPr="00151511" w14:paraId="16B860E9" w14:textId="77777777" w:rsidTr="00C61EAC">
        <w:trPr>
          <w:trHeight w:val="454"/>
        </w:trPr>
        <w:tc>
          <w:tcPr>
            <w:tcW w:w="1134" w:type="dxa"/>
            <w:vAlign w:val="center"/>
          </w:tcPr>
          <w:p w14:paraId="25097A6C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943" w:type="dxa"/>
          </w:tcPr>
          <w:p w14:paraId="77AA5766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Ursodeoxycholic acid</w:t>
            </w:r>
          </w:p>
        </w:tc>
        <w:tc>
          <w:tcPr>
            <w:tcW w:w="1276" w:type="dxa"/>
          </w:tcPr>
          <w:p w14:paraId="5CE7DFE9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1701" w:type="dxa"/>
          </w:tcPr>
          <w:p w14:paraId="4685D139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0.18</w:t>
            </w:r>
          </w:p>
        </w:tc>
      </w:tr>
      <w:tr w:rsidR="00151511" w:rsidRPr="00151511" w14:paraId="34EDD76F" w14:textId="77777777" w:rsidTr="00C61EAC">
        <w:trPr>
          <w:trHeight w:val="454"/>
        </w:trPr>
        <w:tc>
          <w:tcPr>
            <w:tcW w:w="1134" w:type="dxa"/>
            <w:vAlign w:val="center"/>
          </w:tcPr>
          <w:p w14:paraId="3A6A7F0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2943" w:type="dxa"/>
          </w:tcPr>
          <w:p w14:paraId="2297BB62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bookmarkStart w:id="0" w:name="_GoBack"/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Primary biliary cirrhosis</w:t>
            </w:r>
            <w:bookmarkEnd w:id="0"/>
          </w:p>
        </w:tc>
        <w:tc>
          <w:tcPr>
            <w:tcW w:w="1276" w:type="dxa"/>
          </w:tcPr>
          <w:p w14:paraId="31FC6CE7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1701" w:type="dxa"/>
          </w:tcPr>
          <w:p w14:paraId="3BEAACA4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0.13</w:t>
            </w:r>
          </w:p>
        </w:tc>
      </w:tr>
      <w:tr w:rsidR="00151511" w:rsidRPr="00151511" w14:paraId="06E2E785" w14:textId="77777777" w:rsidTr="00C61EAC">
        <w:trPr>
          <w:trHeight w:val="454"/>
        </w:trPr>
        <w:tc>
          <w:tcPr>
            <w:tcW w:w="1134" w:type="dxa"/>
            <w:vAlign w:val="center"/>
          </w:tcPr>
          <w:p w14:paraId="236E9E95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2943" w:type="dxa"/>
          </w:tcPr>
          <w:p w14:paraId="65C68B20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Disease</w:t>
            </w:r>
          </w:p>
        </w:tc>
        <w:tc>
          <w:tcPr>
            <w:tcW w:w="1276" w:type="dxa"/>
          </w:tcPr>
          <w:p w14:paraId="0CD43208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1701" w:type="dxa"/>
          </w:tcPr>
          <w:p w14:paraId="4390037F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0.19</w:t>
            </w:r>
          </w:p>
        </w:tc>
      </w:tr>
      <w:tr w:rsidR="00151511" w:rsidRPr="00151511" w14:paraId="3B2D2740" w14:textId="77777777" w:rsidTr="00C61EAC">
        <w:trPr>
          <w:trHeight w:val="454"/>
        </w:trPr>
        <w:tc>
          <w:tcPr>
            <w:tcW w:w="1134" w:type="dxa"/>
            <w:vAlign w:val="center"/>
          </w:tcPr>
          <w:p w14:paraId="49D89EA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2943" w:type="dxa"/>
          </w:tcPr>
          <w:p w14:paraId="164A3AA4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Antimitochondrial antibody</w:t>
            </w:r>
          </w:p>
        </w:tc>
        <w:tc>
          <w:tcPr>
            <w:tcW w:w="1276" w:type="dxa"/>
          </w:tcPr>
          <w:p w14:paraId="38B8693D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1701" w:type="dxa"/>
          </w:tcPr>
          <w:p w14:paraId="15AA23D4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0.14</w:t>
            </w:r>
          </w:p>
        </w:tc>
      </w:tr>
      <w:tr w:rsidR="00151511" w:rsidRPr="00151511" w14:paraId="7EC4B504" w14:textId="77777777" w:rsidTr="00C61EAC">
        <w:trPr>
          <w:trHeight w:val="454"/>
        </w:trPr>
        <w:tc>
          <w:tcPr>
            <w:tcW w:w="1134" w:type="dxa"/>
            <w:vAlign w:val="center"/>
          </w:tcPr>
          <w:p w14:paraId="4E4794AC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2943" w:type="dxa"/>
          </w:tcPr>
          <w:p w14:paraId="2B1F5CD5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Autoimmunity</w:t>
            </w:r>
          </w:p>
        </w:tc>
        <w:tc>
          <w:tcPr>
            <w:tcW w:w="1276" w:type="dxa"/>
          </w:tcPr>
          <w:p w14:paraId="6D3922C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701" w:type="dxa"/>
          </w:tcPr>
          <w:p w14:paraId="43F73BFA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0.20</w:t>
            </w:r>
          </w:p>
        </w:tc>
      </w:tr>
      <w:tr w:rsidR="00151511" w:rsidRPr="00151511" w14:paraId="3B6663BF" w14:textId="77777777" w:rsidTr="00C61EAC">
        <w:trPr>
          <w:trHeight w:val="454"/>
        </w:trPr>
        <w:tc>
          <w:tcPr>
            <w:tcW w:w="1134" w:type="dxa"/>
            <w:vAlign w:val="center"/>
          </w:tcPr>
          <w:p w14:paraId="5B615A6E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2943" w:type="dxa"/>
          </w:tcPr>
          <w:p w14:paraId="40D71117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Cholestasis</w:t>
            </w:r>
          </w:p>
        </w:tc>
        <w:tc>
          <w:tcPr>
            <w:tcW w:w="1276" w:type="dxa"/>
          </w:tcPr>
          <w:p w14:paraId="15B7851C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701" w:type="dxa"/>
          </w:tcPr>
          <w:p w14:paraId="3C7A5046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0.25</w:t>
            </w:r>
          </w:p>
        </w:tc>
      </w:tr>
      <w:tr w:rsidR="00151511" w:rsidRPr="00151511" w14:paraId="7A1FF347" w14:textId="77777777" w:rsidTr="00C61EAC">
        <w:trPr>
          <w:trHeight w:val="454"/>
        </w:trPr>
        <w:tc>
          <w:tcPr>
            <w:tcW w:w="1134" w:type="dxa"/>
            <w:vAlign w:val="center"/>
          </w:tcPr>
          <w:p w14:paraId="620D79D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2943" w:type="dxa"/>
          </w:tcPr>
          <w:p w14:paraId="3A072230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Prognosis</w:t>
            </w:r>
          </w:p>
        </w:tc>
        <w:tc>
          <w:tcPr>
            <w:tcW w:w="1276" w:type="dxa"/>
          </w:tcPr>
          <w:p w14:paraId="3EB76E6B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701" w:type="dxa"/>
          </w:tcPr>
          <w:p w14:paraId="1E13D6B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0.05</w:t>
            </w:r>
          </w:p>
        </w:tc>
      </w:tr>
      <w:tr w:rsidR="00151511" w:rsidRPr="00151511" w14:paraId="5F34CDEC" w14:textId="77777777" w:rsidTr="00C61EAC">
        <w:trPr>
          <w:trHeight w:val="454"/>
        </w:trPr>
        <w:tc>
          <w:tcPr>
            <w:tcW w:w="1134" w:type="dxa"/>
            <w:vAlign w:val="center"/>
          </w:tcPr>
          <w:p w14:paraId="36C4E6BA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2943" w:type="dxa"/>
          </w:tcPr>
          <w:p w14:paraId="3AD431AE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Systemic lupus erythematosus</w:t>
            </w:r>
          </w:p>
        </w:tc>
        <w:tc>
          <w:tcPr>
            <w:tcW w:w="1276" w:type="dxa"/>
          </w:tcPr>
          <w:p w14:paraId="7982BE51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701" w:type="dxa"/>
          </w:tcPr>
          <w:p w14:paraId="27CC2F06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0.04</w:t>
            </w:r>
          </w:p>
        </w:tc>
      </w:tr>
      <w:tr w:rsidR="00151511" w:rsidRPr="00151511" w14:paraId="437736FF" w14:textId="77777777" w:rsidTr="00C61EAC">
        <w:trPr>
          <w:trHeight w:val="454"/>
        </w:trPr>
        <w:tc>
          <w:tcPr>
            <w:tcW w:w="1134" w:type="dxa"/>
            <w:vAlign w:val="center"/>
          </w:tcPr>
          <w:p w14:paraId="07CCC149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bCs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2943" w:type="dxa"/>
          </w:tcPr>
          <w:p w14:paraId="551FCC3C" w14:textId="77777777" w:rsidR="00151511" w:rsidRPr="00151511" w:rsidRDefault="00151511" w:rsidP="00151511">
            <w:pPr>
              <w:spacing w:before="0" w:after="0" w:line="360" w:lineRule="auto"/>
              <w:jc w:val="both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Liver disease</w:t>
            </w:r>
          </w:p>
        </w:tc>
        <w:tc>
          <w:tcPr>
            <w:tcW w:w="1276" w:type="dxa"/>
          </w:tcPr>
          <w:p w14:paraId="3FEAF4E9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701" w:type="dxa"/>
          </w:tcPr>
          <w:p w14:paraId="33C263B0" w14:textId="77777777" w:rsidR="00151511" w:rsidRPr="00151511" w:rsidRDefault="00151511" w:rsidP="00151511">
            <w:pPr>
              <w:spacing w:before="0" w:after="0" w:line="360" w:lineRule="auto"/>
              <w:jc w:val="center"/>
              <w:rPr>
                <w:rFonts w:eastAsia="宋体" w:cs="Times New Roman"/>
                <w:bCs/>
                <w:sz w:val="20"/>
                <w:szCs w:val="20"/>
                <w:lang w:eastAsia="zh-CN"/>
              </w:rPr>
            </w:pPr>
            <w:r w:rsidRPr="00151511">
              <w:rPr>
                <w:rFonts w:eastAsia="宋体" w:cs="Times New Roman"/>
                <w:sz w:val="20"/>
                <w:szCs w:val="20"/>
                <w:lang w:eastAsia="zh-CN"/>
              </w:rPr>
              <w:t>0.12</w:t>
            </w:r>
          </w:p>
        </w:tc>
      </w:tr>
    </w:tbl>
    <w:p w14:paraId="5DA03F9D" w14:textId="77777777" w:rsidR="00151511" w:rsidRPr="00151511" w:rsidRDefault="00151511" w:rsidP="00E80245">
      <w:pPr>
        <w:spacing w:line="360" w:lineRule="auto"/>
        <w:rPr>
          <w:b/>
          <w:bCs/>
          <w:sz w:val="20"/>
          <w:szCs w:val="20"/>
          <w:lang w:eastAsia="zh-CN"/>
        </w:rPr>
      </w:pPr>
    </w:p>
    <w:sectPr w:rsidR="00151511" w:rsidRPr="00151511" w:rsidSect="0093429D">
      <w:footerReference w:type="even" r:id="rId9"/>
      <w:footerReference w:type="default" r:id="rId10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5FBB35" w14:textId="77777777" w:rsidR="00281C22" w:rsidRDefault="00281C22" w:rsidP="00117666">
      <w:pPr>
        <w:spacing w:after="0"/>
      </w:pPr>
      <w:r>
        <w:separator/>
      </w:r>
    </w:p>
  </w:endnote>
  <w:endnote w:type="continuationSeparator" w:id="0">
    <w:p w14:paraId="445EF3F2" w14:textId="77777777" w:rsidR="00281C22" w:rsidRDefault="00281C22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3025F" w14:textId="77777777" w:rsidR="000D02CB" w:rsidRPr="00577C4C" w:rsidRDefault="000D02C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0D02CB" w:rsidRPr="00577C4C" w:rsidRDefault="000D02C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BC04FB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12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0D02CB" w:rsidRPr="00577C4C" w:rsidRDefault="000D02C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BC04FB">
                      <w:rPr>
                        <w:noProof/>
                        <w:color w:val="000000" w:themeColor="text1"/>
                        <w:szCs w:val="40"/>
                      </w:rPr>
                      <w:t>12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4D6A35" w14:textId="77777777" w:rsidR="000D02CB" w:rsidRPr="00577C4C" w:rsidRDefault="000D02C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0D02CB" w:rsidRPr="00577C4C" w:rsidRDefault="000D02C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BC04FB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13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0D02CB" w:rsidRPr="00577C4C" w:rsidRDefault="000D02C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BC04FB">
                      <w:rPr>
                        <w:noProof/>
                        <w:color w:val="000000" w:themeColor="text1"/>
                        <w:szCs w:val="40"/>
                      </w:rPr>
                      <w:t>13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E7C5ED" w14:textId="77777777" w:rsidR="00281C22" w:rsidRDefault="00281C22" w:rsidP="00117666">
      <w:pPr>
        <w:spacing w:after="0"/>
      </w:pPr>
      <w:r>
        <w:separator/>
      </w:r>
    </w:p>
  </w:footnote>
  <w:footnote w:type="continuationSeparator" w:id="0">
    <w:p w14:paraId="0E22CF16" w14:textId="77777777" w:rsidR="00281C22" w:rsidRDefault="00281C22" w:rsidP="0011766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B036A6"/>
    <w:multiLevelType w:val="hybridMultilevel"/>
    <w:tmpl w:val="67AA5E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CAF38E7"/>
    <w:multiLevelType w:val="hybridMultilevel"/>
    <w:tmpl w:val="481E2E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123E77"/>
    <w:multiLevelType w:val="hybridMultilevel"/>
    <w:tmpl w:val="30D4AB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E75497"/>
    <w:multiLevelType w:val="hybridMultilevel"/>
    <w:tmpl w:val="FC387A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9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0"/>
  </w:num>
  <w:num w:numId="8">
    <w:abstractNumId w:val="10"/>
  </w:num>
  <w:num w:numId="9">
    <w:abstractNumId w:val="10"/>
  </w:num>
  <w:num w:numId="10">
    <w:abstractNumId w:val="10"/>
  </w:num>
  <w:num w:numId="11">
    <w:abstractNumId w:val="10"/>
  </w:num>
  <w:num w:numId="12">
    <w:abstractNumId w:val="10"/>
  </w:num>
  <w:num w:numId="13">
    <w:abstractNumId w:val="4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5"/>
  </w:num>
  <w:num w:numId="21">
    <w:abstractNumId w:val="8"/>
  </w:num>
  <w:num w:numId="22">
    <w:abstractNumId w:val="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M0MzAxNjSzNDI0NDBW0lEKTi0uzszPAykwrgUAxA3BSCwAAAA="/>
  </w:docVars>
  <w:rsids>
    <w:rsidRoot w:val="00ED20B5"/>
    <w:rsid w:val="0001436A"/>
    <w:rsid w:val="00034304"/>
    <w:rsid w:val="00035434"/>
    <w:rsid w:val="00052A14"/>
    <w:rsid w:val="00077D53"/>
    <w:rsid w:val="000B2C19"/>
    <w:rsid w:val="000B6F7D"/>
    <w:rsid w:val="000D02CB"/>
    <w:rsid w:val="00105FD9"/>
    <w:rsid w:val="00117666"/>
    <w:rsid w:val="001437A5"/>
    <w:rsid w:val="00151511"/>
    <w:rsid w:val="001549D3"/>
    <w:rsid w:val="00160065"/>
    <w:rsid w:val="00177D84"/>
    <w:rsid w:val="00267D18"/>
    <w:rsid w:val="00272390"/>
    <w:rsid w:val="00274347"/>
    <w:rsid w:val="00281C22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365A3"/>
    <w:rsid w:val="00447801"/>
    <w:rsid w:val="00452E9C"/>
    <w:rsid w:val="004735C8"/>
    <w:rsid w:val="0048425A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16BF"/>
    <w:rsid w:val="006820B1"/>
    <w:rsid w:val="006B7D14"/>
    <w:rsid w:val="00701727"/>
    <w:rsid w:val="0070566C"/>
    <w:rsid w:val="00714C50"/>
    <w:rsid w:val="00725A7D"/>
    <w:rsid w:val="007428CE"/>
    <w:rsid w:val="007469D6"/>
    <w:rsid w:val="007501BE"/>
    <w:rsid w:val="00751B16"/>
    <w:rsid w:val="00790BB3"/>
    <w:rsid w:val="007C206C"/>
    <w:rsid w:val="007F6675"/>
    <w:rsid w:val="00817DD6"/>
    <w:rsid w:val="0083759F"/>
    <w:rsid w:val="00881520"/>
    <w:rsid w:val="00885156"/>
    <w:rsid w:val="008A133F"/>
    <w:rsid w:val="009151AA"/>
    <w:rsid w:val="0093429D"/>
    <w:rsid w:val="00941424"/>
    <w:rsid w:val="00943573"/>
    <w:rsid w:val="00964134"/>
    <w:rsid w:val="00970F7D"/>
    <w:rsid w:val="00994A3D"/>
    <w:rsid w:val="009C2B12"/>
    <w:rsid w:val="00A174D9"/>
    <w:rsid w:val="00A42D92"/>
    <w:rsid w:val="00AA4D24"/>
    <w:rsid w:val="00AB6715"/>
    <w:rsid w:val="00B06BC0"/>
    <w:rsid w:val="00B1671E"/>
    <w:rsid w:val="00B25EB8"/>
    <w:rsid w:val="00B37F4D"/>
    <w:rsid w:val="00B82412"/>
    <w:rsid w:val="00BC04FB"/>
    <w:rsid w:val="00C52A7B"/>
    <w:rsid w:val="00C56BAF"/>
    <w:rsid w:val="00C679AA"/>
    <w:rsid w:val="00C75972"/>
    <w:rsid w:val="00CD066B"/>
    <w:rsid w:val="00CE4FEE"/>
    <w:rsid w:val="00D060CF"/>
    <w:rsid w:val="00D12F11"/>
    <w:rsid w:val="00DB59C3"/>
    <w:rsid w:val="00DC259A"/>
    <w:rsid w:val="00DC7D65"/>
    <w:rsid w:val="00DE23E8"/>
    <w:rsid w:val="00E52377"/>
    <w:rsid w:val="00E537AD"/>
    <w:rsid w:val="00E64E17"/>
    <w:rsid w:val="00E80245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副标题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批注框文本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批注文字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页脚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脚注文本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页眉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99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标题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标题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qFormat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标题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副标题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批注框文本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批注文字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页脚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脚注文本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页眉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99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标题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标题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qFormat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标题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7E21AD81-8F7A-422E-9A3E-975161DEA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945</TotalTime>
  <Pages>13</Pages>
  <Words>2448</Words>
  <Characters>13958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xb21cn</cp:lastModifiedBy>
  <cp:revision>13</cp:revision>
  <cp:lastPrinted>2013-10-03T12:51:00Z</cp:lastPrinted>
  <dcterms:created xsi:type="dcterms:W3CDTF">2018-11-23T08:58:00Z</dcterms:created>
  <dcterms:modified xsi:type="dcterms:W3CDTF">2021-10-14T15:31:00Z</dcterms:modified>
</cp:coreProperties>
</file>