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FB8F1">
      <w:pPr>
        <w:spacing w:after="200"/>
        <w:jc w:val="center"/>
      </w:pPr>
      <w:r>
        <w:rPr>
          <w:rFonts w:ascii="Times New Roman" w:hAnsi="Times New Roman" w:eastAsia="Times New Roman" w:cs="Times New Roman"/>
          <w:b/>
          <w:bCs/>
          <w:sz w:val="32"/>
          <w:szCs w:val="32"/>
        </w:rPr>
        <w:t>Supplementary File: Semi-Structured Interview Guide</w:t>
      </w:r>
    </w:p>
    <w:p w14:paraId="0987AB40">
      <w:pPr>
        <w:spacing w:after="400"/>
        <w:jc w:val="center"/>
      </w:pPr>
      <w:r>
        <w:rPr>
          <w:rFonts w:ascii="Times New Roman" w:hAnsi="Times New Roman" w:eastAsia="Times New Roman" w:cs="Times New Roman"/>
          <w:i/>
          <w:iCs/>
          <w:sz w:val="24"/>
          <w:szCs w:val="24"/>
        </w:rPr>
        <w:t>Development of a Perioperative Care Journey Map for Parents of Rural Infants with Congenital Heart Disease</w:t>
      </w:r>
    </w:p>
    <w:p w14:paraId="1636717E">
      <w:pPr>
        <w:pStyle w:val="2"/>
        <w:rPr>
          <w:sz w:val="28"/>
          <w:szCs w:val="28"/>
        </w:rPr>
      </w:pPr>
      <w:r>
        <w:rPr>
          <w:b/>
          <w:bCs/>
          <w:sz w:val="28"/>
          <w:szCs w:val="28"/>
        </w:rPr>
        <w:t>1. Background and Development</w:t>
      </w:r>
    </w:p>
    <w:p w14:paraId="5DDDA33C">
      <w:pPr>
        <w:spacing w:after="160"/>
      </w:pPr>
      <w:r>
        <w:t>This semi-structured interview guide was developed specifically for this study. The guide was constructed through a systematic process: (1) a comprehensive review of domestic and international literature on perioperative parental experiences in pediatric congenital heart disease; (2) expert consultation with clinical specialists in pediatric nursing and qualitative research; and (3) a pilot interview conducted with two participants prior to formal data collection to determine the framework of the journey map axes. The guide was revised accordingly following the pilot interview before use in formal interviews.</w:t>
      </w:r>
    </w:p>
    <w:p w14:paraId="5A750702">
      <w:pPr>
        <w:pStyle w:val="2"/>
      </w:pPr>
      <w:r>
        <w:rPr>
          <w:b/>
          <w:bCs/>
        </w:rPr>
        <w:t>2. Purpose</w:t>
      </w:r>
    </w:p>
    <w:p w14:paraId="1BA7E354">
      <w:pPr>
        <w:spacing w:after="160"/>
      </w:pPr>
      <w:r>
        <w:t>The purpose of this interview guide is to explore the perioperative care experiences of parents of rural infants with congenital heart disease (CHD), with the aim of constructing a comprehensive care journey map that captures their needs, concerns, and support resources across each phase of the perioperative period.</w:t>
      </w:r>
    </w:p>
    <w:p w14:paraId="02496DBB">
      <w:pPr>
        <w:pStyle w:val="2"/>
      </w:pPr>
      <w:r>
        <w:rPr>
          <w:b/>
          <w:bCs/>
        </w:rPr>
        <w:t>3. Study Participants</w:t>
      </w:r>
    </w:p>
    <w:p w14:paraId="4C3BF71E">
      <w:pPr>
        <w:spacing w:after="160"/>
      </w:pPr>
      <w:r>
        <w:t>Parents (mothers or fathers) of infants diagnosed with congenital heart disease who were admitted for surgical treatment at the participating hospital, and who met the study's inclusion criteria.</w:t>
      </w:r>
    </w:p>
    <w:p w14:paraId="7D248129">
      <w:pPr>
        <w:pStyle w:val="2"/>
      </w:pPr>
      <w:r>
        <w:rPr>
          <w:b/>
          <w:bCs/>
        </w:rPr>
        <w:t>4. Interview Procedure</w:t>
      </w:r>
    </w:p>
    <w:p w14:paraId="29C477D7">
      <w:pPr>
        <w:spacing w:after="80"/>
      </w:pPr>
      <w:r>
        <w:t>All interviews were conducted face-to-face or via telephone by trained research team members in a quiet, private setting. Each interview lasted approximately 30–60 minutes. With participants' informed consent, all interviews were audio-recorded and subsequently transcribed verbatim. The following procedures were followed:</w:t>
      </w:r>
    </w:p>
    <w:p w14:paraId="7C160ADB">
      <w:pPr>
        <w:pStyle w:val="16"/>
        <w:numPr>
          <w:ilvl w:val="0"/>
          <w:numId w:val="1"/>
        </w:numPr>
        <w:spacing w:after="60"/>
        <w:ind w:left="425" w:leftChars="0" w:hanging="425" w:firstLineChars="0"/>
      </w:pPr>
      <w:r>
        <w:t>Participants were briefed on the study purpose, voluntary nature of participation, and right to withdraw at any time without consequences.</w:t>
      </w:r>
    </w:p>
    <w:p w14:paraId="63EC44B5">
      <w:pPr>
        <w:pStyle w:val="16"/>
        <w:numPr>
          <w:ilvl w:val="0"/>
          <w:numId w:val="1"/>
        </w:numPr>
        <w:spacing w:after="60"/>
        <w:ind w:left="425" w:leftChars="0" w:hanging="425" w:firstLineChars="0"/>
      </w:pPr>
      <w:r>
        <w:t>Written informed consent was obtained prior to commencing the interview.</w:t>
      </w:r>
    </w:p>
    <w:p w14:paraId="5AB46010">
      <w:pPr>
        <w:pStyle w:val="16"/>
        <w:numPr>
          <w:ilvl w:val="0"/>
          <w:numId w:val="1"/>
        </w:numPr>
        <w:spacing w:after="60"/>
        <w:ind w:left="425" w:leftChars="0" w:hanging="425" w:firstLineChars="0"/>
      </w:pPr>
      <w:r>
        <w:t>Interviewers used open-ended questions as the primary approach, with probing follow-up questions to elicit deeper elaboration.</w:t>
      </w:r>
    </w:p>
    <w:p w14:paraId="6B53DC26">
      <w:pPr>
        <w:pStyle w:val="16"/>
        <w:numPr>
          <w:ilvl w:val="0"/>
          <w:numId w:val="1"/>
        </w:numPr>
        <w:spacing w:after="200"/>
        <w:ind w:left="425" w:leftChars="0" w:hanging="425" w:firstLineChars="0"/>
      </w:pPr>
      <w:r>
        <w:t>Data saturation was used</w:t>
      </w:r>
      <w:bookmarkStart w:id="0" w:name="_GoBack"/>
      <w:bookmarkEnd w:id="0"/>
      <w:r>
        <w:t xml:space="preserve"> to determine when to cease participant recruitment.</w:t>
      </w:r>
    </w:p>
    <w:p w14:paraId="789DE01B">
      <w:pPr>
        <w:pStyle w:val="2"/>
      </w:pPr>
      <w:r>
        <w:rPr>
          <w:b/>
          <w:bCs/>
        </w:rPr>
        <w:t>5. Interview Questions</w:t>
      </w:r>
    </w:p>
    <w:p w14:paraId="06EFE87D">
      <w:pPr>
        <w:spacing w:after="120"/>
        <w:rPr>
          <w:i w:val="0"/>
          <w:iCs w:val="0"/>
        </w:rPr>
      </w:pPr>
      <w:r>
        <w:rPr>
          <w:i w:val="0"/>
          <w:iCs w:val="0"/>
        </w:rPr>
        <w:t>The following core questions guided each interview. Interviewers were encouraged to use flexible probing questions (e.g., "Could you tell me more about that?", "What happened next?", "How did that make you feel?") to explore participants' responses in greater depth.</w:t>
      </w:r>
    </w:p>
    <w:p w14:paraId="050EE539">
      <w:pPr>
        <w:spacing w:before="160" w:after="60"/>
      </w:pPr>
      <w:r>
        <w:rPr>
          <w:b/>
          <w:bCs/>
        </w:rPr>
        <w:t>Question 1.</w:t>
      </w:r>
      <w:r>
        <w:t xml:space="preserve">  From the time of your child's diagnosis through to surgery, what experiences have you been through? What left the deepest impression on you?</w:t>
      </w:r>
    </w:p>
    <w:p w14:paraId="24F7696A">
      <w:pPr>
        <w:spacing w:after="60"/>
        <w:ind w:left="720"/>
      </w:pPr>
      <w:r>
        <w:rPr>
          <w:i/>
          <w:iCs/>
          <w:color w:val="555555"/>
        </w:rPr>
        <w:t>Probes: What was it like when you first received the diagnosis? How did you feel? What was your biggest concern at that time?</w:t>
      </w:r>
    </w:p>
    <w:p w14:paraId="2C0807C8">
      <w:pPr>
        <w:spacing w:before="160" w:after="60"/>
      </w:pPr>
      <w:r>
        <w:rPr>
          <w:b/>
          <w:bCs/>
        </w:rPr>
        <w:t>Question 2.</w:t>
      </w:r>
      <w:r>
        <w:t xml:space="preserve">  During the preoperative period, the child's ICU stay, the return to the general ward, and discharge preparation — what were your greatest concerns at each of these stages? How did you feel emotionally?</w:t>
      </w:r>
    </w:p>
    <w:p w14:paraId="5F0D9B18">
      <w:pPr>
        <w:spacing w:after="60"/>
        <w:ind w:left="720"/>
      </w:pPr>
      <w:r>
        <w:rPr>
          <w:i/>
          <w:iCs/>
          <w:color w:val="555555"/>
        </w:rPr>
        <w:t>Probes: What worried you most before the operation? What was the ICU experience like for you? How did you manage when the child returned to the ward? What were your concerns as you prepared to go home?</w:t>
      </w:r>
    </w:p>
    <w:p w14:paraId="0BFDFA9E">
      <w:pPr>
        <w:spacing w:before="160" w:after="60"/>
      </w:pPr>
      <w:r>
        <w:rPr>
          <w:b/>
          <w:bCs/>
        </w:rPr>
        <w:t>Question 3.</w:t>
      </w:r>
      <w:r>
        <w:t xml:space="preserve">  What specific difficulties did you encounter while caring for your child?</w:t>
      </w:r>
    </w:p>
    <w:p w14:paraId="15C4218A">
      <w:pPr>
        <w:spacing w:after="60"/>
        <w:ind w:left="720"/>
      </w:pPr>
      <w:r>
        <w:rPr>
          <w:i/>
          <w:iCs/>
          <w:color w:val="555555"/>
        </w:rPr>
        <w:t>Probes: Were there challenges related to your child's physical care, daily routines, or managing at home? Did you face any financial, logistical, or emotional difficulties?</w:t>
      </w:r>
    </w:p>
    <w:p w14:paraId="4034CA3A">
      <w:pPr>
        <w:spacing w:before="160" w:after="60"/>
      </w:pPr>
      <w:r>
        <w:rPr>
          <w:b/>
          <w:bCs/>
        </w:rPr>
        <w:t>Question 4.</w:t>
      </w:r>
      <w:r>
        <w:t xml:space="preserve">  What resources or support did you receive throughout this process? Were these helpful to you?</w:t>
      </w:r>
    </w:p>
    <w:p w14:paraId="26DAD120">
      <w:pPr>
        <w:spacing w:after="60"/>
        <w:ind w:left="720"/>
      </w:pPr>
      <w:r>
        <w:rPr>
          <w:i/>
          <w:iCs/>
          <w:color w:val="555555"/>
        </w:rPr>
        <w:t>Probes: Did you receive support from family, community, healthcare providers, or other sources? Which types of support were most useful? Was there anything that was not helpful, or that you felt was missing?</w:t>
      </w:r>
    </w:p>
    <w:p w14:paraId="25D1F320">
      <w:pPr>
        <w:spacing w:before="160" w:after="60"/>
      </w:pPr>
      <w:r>
        <w:rPr>
          <w:b/>
          <w:bCs/>
        </w:rPr>
        <w:t>Question 5.</w:t>
      </w:r>
      <w:r>
        <w:t xml:space="preserve">  What kind of help or support did you hope that healthcare providers would offer you?</w:t>
      </w:r>
    </w:p>
    <w:p w14:paraId="44518352">
      <w:pPr>
        <w:spacing w:after="60"/>
        <w:ind w:left="720"/>
      </w:pPr>
      <w:r>
        <w:rPr>
          <w:i/>
          <w:iCs/>
          <w:color w:val="555555"/>
        </w:rPr>
        <w:t>Probes: Were there unmet needs at any stage of the process? What information, emotional support, or practical assistance would have been most valuable?</w:t>
      </w:r>
    </w:p>
    <w:p w14:paraId="05A0A59F">
      <w:pPr>
        <w:spacing w:before="200" w:after="60"/>
      </w:pPr>
      <w:r>
        <w:rPr>
          <w:b/>
          <w:bCs/>
        </w:rPr>
        <w:t>Closing:</w:t>
      </w:r>
      <w:r>
        <w:t xml:space="preserve">  Is there anything else you would like to share about your experience that we have not covered? Thank you very much for your time and willingness to participate in this study.</w:t>
      </w:r>
    </w:p>
    <w:p w14:paraId="4B0B0803">
      <w:pPr>
        <w:pStyle w:val="2"/>
      </w:pPr>
      <w:r>
        <w:rPr>
          <w:b/>
          <w:bCs/>
        </w:rPr>
        <w:t>6. Notes for Interviewers</w:t>
      </w:r>
    </w:p>
    <w:p w14:paraId="609ED754">
      <w:pPr>
        <w:pStyle w:val="16"/>
        <w:numPr>
          <w:ilvl w:val="0"/>
          <w:numId w:val="2"/>
        </w:numPr>
        <w:spacing w:after="60"/>
        <w:ind w:left="425" w:leftChars="0" w:hanging="425" w:firstLineChars="0"/>
      </w:pPr>
      <w:r>
        <w:t>Maintain a neutral, non-judgmental, and empathetic tone throughout the interview.</w:t>
      </w:r>
    </w:p>
    <w:p w14:paraId="2FD9549D">
      <w:pPr>
        <w:pStyle w:val="16"/>
        <w:numPr>
          <w:ilvl w:val="0"/>
          <w:numId w:val="2"/>
        </w:numPr>
        <w:spacing w:after="60"/>
        <w:ind w:left="425" w:leftChars="0" w:hanging="425" w:firstLineChars="0"/>
      </w:pPr>
      <w:r>
        <w:t>Allow participants sufficient time to express themselves; avoid interrupting.</w:t>
      </w:r>
    </w:p>
    <w:p w14:paraId="6E583CB5">
      <w:pPr>
        <w:pStyle w:val="16"/>
        <w:numPr>
          <w:ilvl w:val="0"/>
          <w:numId w:val="2"/>
        </w:numPr>
        <w:spacing w:after="60"/>
        <w:ind w:left="425" w:leftChars="0" w:hanging="425" w:firstLineChars="0"/>
      </w:pPr>
      <w:r>
        <w:t>The order of questions may be adjusted flexibly according to the flow of the conversation.</w:t>
      </w:r>
    </w:p>
    <w:p w14:paraId="5A8A86DE">
      <w:pPr>
        <w:pStyle w:val="16"/>
        <w:numPr>
          <w:ilvl w:val="0"/>
          <w:numId w:val="2"/>
        </w:numPr>
        <w:spacing w:after="60"/>
        <w:ind w:left="425" w:leftChars="0" w:hanging="425" w:firstLineChars="0"/>
      </w:pPr>
      <w:r>
        <w:t>Field notes should be recorded immediately after each interview to capture non-verbal cues and contextual observations.</w:t>
      </w:r>
    </w:p>
    <w:p w14:paraId="1B70DB19">
      <w:pPr>
        <w:pStyle w:val="16"/>
        <w:numPr>
          <w:ilvl w:val="0"/>
          <w:numId w:val="2"/>
        </w:numPr>
        <w:spacing w:after="60"/>
        <w:ind w:left="425" w:leftChars="0" w:hanging="425" w:firstLineChars="0"/>
      </w:pPr>
      <w:r>
        <w:t>If a participant shows signs of emotional distress, interviewers should pause the interview and offer appropriate support.</w:t>
      </w:r>
    </w:p>
    <w:sectPr>
      <w:pgSz w:w="12240" w:h="15840"/>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E4AC5"/>
    <w:multiLevelType w:val="singleLevel"/>
    <w:tmpl w:val="997E4AC5"/>
    <w:lvl w:ilvl="0" w:tentative="0">
      <w:start w:val="1"/>
      <w:numFmt w:val="decimal"/>
      <w:lvlText w:val="(%1)"/>
      <w:lvlJc w:val="left"/>
      <w:pPr>
        <w:ind w:left="425" w:hanging="425"/>
      </w:pPr>
      <w:rPr>
        <w:rFonts w:hint="default"/>
      </w:rPr>
    </w:lvl>
  </w:abstractNum>
  <w:abstractNum w:abstractNumId="1">
    <w:nsid w:val="B78189AA"/>
    <w:multiLevelType w:val="singleLevel"/>
    <w:tmpl w:val="B78189AA"/>
    <w:lvl w:ilvl="0" w:tentative="0">
      <w:start w:val="1"/>
      <w:numFmt w:val="decimal"/>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isplayBackgroundShape w:val="1"/>
  <w:documentProtection w:enforcement="0"/>
  <w:compat>
    <w:useFELayout/>
    <w:compatSetting w:name="compatibilityMode" w:uri="http://schemas.microsoft.com/office/word" w:val="15"/>
  </w:compat>
  <w:rsids>
    <w:rsidRoot w:val="00000000"/>
    <w:rsid w:val="413B0D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imes New Roman"/>
      <w:sz w:val="24"/>
      <w:szCs w:val="24"/>
    </w:rPr>
  </w:style>
  <w:style w:type="paragraph" w:styleId="2">
    <w:name w:val="heading 1"/>
    <w:next w:val="1"/>
    <w:qFormat/>
    <w:uiPriority w:val="0"/>
    <w:pPr>
      <w:spacing w:before="240" w:after="120"/>
      <w:outlineLvl w:val="0"/>
    </w:pPr>
    <w:rPr>
      <w:rFonts w:ascii="Times New Roman" w:hAnsi="Times New Roman" w:eastAsia="Times New Roman" w:cs="Times New Roman"/>
      <w:b/>
      <w:bCs/>
      <w:sz w:val="28"/>
      <w:szCs w:val="28"/>
    </w:rPr>
  </w:style>
  <w:style w:type="paragraph" w:styleId="3">
    <w:name w:val="heading 2"/>
    <w:next w:val="1"/>
    <w:qFormat/>
    <w:uiPriority w:val="0"/>
    <w:pPr>
      <w:spacing w:before="200" w:after="100"/>
      <w:outlineLvl w:val="1"/>
    </w:pPr>
    <w:rPr>
      <w:rFonts w:ascii="Times New Roman" w:hAnsi="Times New Roman" w:eastAsia="Times New Roman" w:cs="Times New Roman"/>
      <w:b/>
      <w:bCs/>
      <w:sz w:val="24"/>
      <w:szCs w:val="24"/>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4"/>
      <w:szCs w:val="24"/>
    </w:rPr>
  </w:style>
  <w:style w:type="paragraph" w:styleId="6">
    <w:name w:val="heading 5"/>
    <w:next w:val="1"/>
    <w:qFormat/>
    <w:uiPriority w:val="0"/>
    <w:rPr>
      <w:rFonts w:ascii="Times New Roman" w:hAnsi="Times New Roman" w:eastAsia="Times New Roman" w:cs="Times New Roman"/>
      <w:color w:val="2E74B5"/>
      <w:sz w:val="24"/>
      <w:szCs w:val="24"/>
    </w:rPr>
  </w:style>
  <w:style w:type="paragraph" w:styleId="7">
    <w:name w:val="heading 6"/>
    <w:next w:val="1"/>
    <w:qFormat/>
    <w:uiPriority w:val="0"/>
    <w:rPr>
      <w:rFonts w:ascii="Times New Roman" w:hAnsi="Times New Roman" w:eastAsia="Times New Roman" w:cs="Times New Roman"/>
      <w:color w:val="1F4D78"/>
      <w:sz w:val="24"/>
      <w:szCs w:val="24"/>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Times New Roman" w:hAnsi="Times New Roman" w:eastAsia="Times New Roman" w:cs="Times New Roman"/>
      <w:sz w:val="20"/>
      <w:szCs w:val="20"/>
    </w:rPr>
  </w:style>
  <w:style w:type="paragraph" w:styleId="9">
    <w:name w:val="footnote text"/>
    <w:link w:val="17"/>
    <w:semiHidden/>
    <w:unhideWhenUsed/>
    <w:qFormat/>
    <w:uiPriority w:val="99"/>
    <w:pPr>
      <w:spacing w:after="0" w:line="240" w:lineRule="auto"/>
    </w:pPr>
    <w:rPr>
      <w:rFonts w:ascii="Times New Roman" w:hAnsi="Times New Roman" w:eastAsia="Times New Roman" w:cs="Times New Roman"/>
      <w:sz w:val="20"/>
      <w:szCs w:val="20"/>
    </w:rPr>
  </w:style>
  <w:style w:type="paragraph" w:styleId="10">
    <w:name w:val="Title"/>
    <w:qFormat/>
    <w:uiPriority w:val="0"/>
    <w:rPr>
      <w:rFonts w:ascii="Times New Roman" w:hAnsi="Times New Roman" w:eastAsia="Times New Roman" w:cs="Times New Roman"/>
      <w:sz w:val="56"/>
      <w:szCs w:val="56"/>
    </w:rPr>
  </w:style>
  <w:style w:type="character" w:styleId="13">
    <w:name w:val="endnote reference"/>
    <w:semiHidden/>
    <w:unhideWhenUsed/>
    <w:qFormat/>
    <w:uiPriority w:val="99"/>
    <w:rPr>
      <w:vertAlign w:val="superscript"/>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imes New Roman" w:hAnsi="Times New Roman" w:eastAsia="Times New Roman" w:cs="Times New Roman"/>
      <w:sz w:val="24"/>
      <w:szCs w:val="24"/>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685</Words>
  <Characters>3942</Characters>
  <TotalTime>4</TotalTime>
  <ScaleCrop>false</ScaleCrop>
  <LinksUpToDate>false</LinksUpToDate>
  <CharactersWithSpaces>4600</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2026-05-28T12:21:00Z</dcterms:created>
  <dc:creator>Un-named</dc:creator>
  <cp:lastModifiedBy>蒲葵の满天星</cp:lastModifiedBy>
  <dcterms:modified xsi:type="dcterms:W3CDTF">2026-05-28T13:24:40Z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eyJoZGlkIjoiMmJiMjk3NWVmZDU3NjM5MDRjMWE5OTAzMGY5YWEyOWQiLCJ1c2VySWQiOiI5MDYyNzA2NzkifQ==</vt:lpwstr>
  </property>
  <property fmtid="{D5CDD505-2E9C-101B-9397-08002B2CF9AE}" pid="3" name="KSOProductBuildVer">
    <vt:lpwstr>2052-12.1.0.25865</vt:lpwstr>
  </property>
  <property fmtid="{D5CDD505-2E9C-101B-9397-08002B2CF9AE}" pid="4" name="ICV">
    <vt:lpwstr>91D2C0C1F9C045289F96D37645E1E6F6_12</vt:lpwstr>
  </property>
</Properties>
</file>