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0"/>
        <w:tblW w:w="9298" w:type="dxa"/>
        <w:tblLook w:val="04A0" w:firstRow="1" w:lastRow="0" w:firstColumn="1" w:lastColumn="0" w:noHBand="0" w:noVBand="1"/>
      </w:tblPr>
      <w:tblGrid>
        <w:gridCol w:w="1201"/>
        <w:gridCol w:w="8097"/>
      </w:tblGrid>
      <w:tr w:rsidR="00B45B62" w:rsidRPr="00826BEB" w14:paraId="0A79DD75" w14:textId="77777777" w:rsidTr="00B45B62">
        <w:trPr>
          <w:trHeight w:val="283"/>
        </w:trPr>
        <w:tc>
          <w:tcPr>
            <w:tcW w:w="0" w:type="auto"/>
            <w:hideMark/>
          </w:tcPr>
          <w:p w14:paraId="7A81C82B" w14:textId="77777777" w:rsidR="00B45B62" w:rsidRPr="00826BEB" w:rsidRDefault="00B45B62" w:rsidP="00B45B62">
            <w:pPr>
              <w:spacing w:line="480" w:lineRule="auto"/>
              <w:jc w:val="center"/>
              <w:rPr>
                <w:b/>
                <w:bCs/>
                <w:sz w:val="20"/>
                <w:szCs w:val="20"/>
              </w:rPr>
            </w:pPr>
            <w:r w:rsidRPr="00826BEB">
              <w:rPr>
                <w:b/>
                <w:bCs/>
                <w:sz w:val="20"/>
                <w:szCs w:val="20"/>
              </w:rPr>
              <w:t>Database</w:t>
            </w:r>
          </w:p>
        </w:tc>
        <w:tc>
          <w:tcPr>
            <w:tcW w:w="0" w:type="auto"/>
            <w:hideMark/>
          </w:tcPr>
          <w:p w14:paraId="5FE90BE3" w14:textId="77777777" w:rsidR="00B45B62" w:rsidRPr="00826BEB" w:rsidRDefault="00B45B62" w:rsidP="00B45B62">
            <w:pPr>
              <w:spacing w:line="480" w:lineRule="auto"/>
              <w:jc w:val="center"/>
              <w:rPr>
                <w:b/>
                <w:bCs/>
                <w:sz w:val="20"/>
                <w:szCs w:val="20"/>
              </w:rPr>
            </w:pPr>
            <w:r w:rsidRPr="00826BEB">
              <w:rPr>
                <w:b/>
                <w:bCs/>
                <w:sz w:val="20"/>
                <w:szCs w:val="20"/>
              </w:rPr>
              <w:t>Search Strategy</w:t>
            </w:r>
          </w:p>
        </w:tc>
      </w:tr>
      <w:tr w:rsidR="00B45B62" w:rsidRPr="00826BEB" w14:paraId="55561E88" w14:textId="77777777" w:rsidTr="00B45B62">
        <w:trPr>
          <w:trHeight w:val="1503"/>
        </w:trPr>
        <w:tc>
          <w:tcPr>
            <w:tcW w:w="0" w:type="auto"/>
            <w:hideMark/>
          </w:tcPr>
          <w:p w14:paraId="00318AC1" w14:textId="77777777" w:rsidR="00B45B62" w:rsidRPr="00826BEB" w:rsidRDefault="00B45B62" w:rsidP="00B45B62">
            <w:pPr>
              <w:spacing w:line="480" w:lineRule="auto"/>
              <w:rPr>
                <w:sz w:val="20"/>
                <w:szCs w:val="20"/>
              </w:rPr>
            </w:pPr>
            <w:r w:rsidRPr="00826BEB">
              <w:rPr>
                <w:rStyle w:val="Strong"/>
                <w:sz w:val="20"/>
                <w:szCs w:val="20"/>
              </w:rPr>
              <w:t xml:space="preserve">PubMed </w:t>
            </w:r>
          </w:p>
        </w:tc>
        <w:tc>
          <w:tcPr>
            <w:tcW w:w="0" w:type="auto"/>
            <w:hideMark/>
          </w:tcPr>
          <w:p w14:paraId="07A4B8E7" w14:textId="77777777" w:rsidR="00B45B62" w:rsidRPr="00826BEB" w:rsidRDefault="00B45B62" w:rsidP="00B45B62">
            <w:pPr>
              <w:spacing w:line="480" w:lineRule="auto"/>
              <w:rPr>
                <w:sz w:val="20"/>
                <w:szCs w:val="20"/>
              </w:rPr>
            </w:pPr>
            <w:r w:rsidRPr="00826BEB">
              <w:rPr>
                <w:sz w:val="20"/>
                <w:szCs w:val="20"/>
              </w:rPr>
              <w:t>(“Artificial Intelligence”[Mesh] OR “Machine Learning”[Mesh] OR “Deep Learning” OR “artificial intelligence” OR “machine learning” OR “deep learning”) AND (“Coronary Angiography”[Mesh] OR “quantitative coronary angiography” OR “QCA” OR “AI-QCA”) AND (“Percutaneous Coronary Intervention”[Mesh] OR “PCI” OR “coronary intervention”) AND (“Intravascular Ultrasound”[Mesh] OR “IVUS” OR “Optical Coherence Tomography”[Mesh] OR “OCT” OR “angiography”)</w:t>
            </w:r>
          </w:p>
        </w:tc>
      </w:tr>
      <w:tr w:rsidR="00B45B62" w:rsidRPr="00826BEB" w14:paraId="743E0EFD" w14:textId="77777777" w:rsidTr="00B45B62">
        <w:trPr>
          <w:trHeight w:val="1192"/>
        </w:trPr>
        <w:tc>
          <w:tcPr>
            <w:tcW w:w="0" w:type="auto"/>
            <w:hideMark/>
          </w:tcPr>
          <w:p w14:paraId="63DE1A7E" w14:textId="77777777" w:rsidR="00B45B62" w:rsidRPr="00826BEB" w:rsidRDefault="00B45B62" w:rsidP="00B45B62">
            <w:pPr>
              <w:spacing w:line="480" w:lineRule="auto"/>
              <w:rPr>
                <w:sz w:val="20"/>
                <w:szCs w:val="20"/>
              </w:rPr>
            </w:pPr>
            <w:r w:rsidRPr="00826BEB">
              <w:rPr>
                <w:rStyle w:val="Strong"/>
                <w:sz w:val="20"/>
                <w:szCs w:val="20"/>
              </w:rPr>
              <w:t>Embase</w:t>
            </w:r>
          </w:p>
        </w:tc>
        <w:tc>
          <w:tcPr>
            <w:tcW w:w="0" w:type="auto"/>
            <w:hideMark/>
          </w:tcPr>
          <w:p w14:paraId="5AAB2F2F" w14:textId="77777777" w:rsidR="00B45B62" w:rsidRPr="00826BEB" w:rsidRDefault="00B45B62" w:rsidP="00B45B62">
            <w:pPr>
              <w:spacing w:line="480" w:lineRule="auto"/>
              <w:rPr>
                <w:sz w:val="20"/>
                <w:szCs w:val="20"/>
              </w:rPr>
            </w:pPr>
            <w:r w:rsidRPr="00826BEB">
              <w:rPr>
                <w:sz w:val="20"/>
                <w:szCs w:val="20"/>
              </w:rPr>
              <w:t>(‘artificial intelligence’/exp OR ‘machine learning’/exp OR ‘deep learning’) AND (‘quantitative coronary angiography’ OR ‘QCA’ OR ‘AI-QCA’) AND (‘percutaneous coronary intervention’/exp OR ‘PCI’ OR ‘coronary angiography’) AND (‘intravascular ultrasound’/exp OR ‘IVUS’ OR ‘optical coherence tomography’/exp OR ‘OCT’ OR ‘angiography’)</w:t>
            </w:r>
          </w:p>
        </w:tc>
      </w:tr>
      <w:tr w:rsidR="00B45B62" w:rsidRPr="00826BEB" w14:paraId="4AC0619F" w14:textId="77777777" w:rsidTr="00B45B62">
        <w:trPr>
          <w:trHeight w:val="881"/>
        </w:trPr>
        <w:tc>
          <w:tcPr>
            <w:tcW w:w="0" w:type="auto"/>
            <w:hideMark/>
          </w:tcPr>
          <w:p w14:paraId="0BD1F5DA" w14:textId="77777777" w:rsidR="00B45B62" w:rsidRPr="00826BEB" w:rsidRDefault="00B45B62" w:rsidP="00B45B62">
            <w:pPr>
              <w:spacing w:line="480" w:lineRule="auto"/>
              <w:rPr>
                <w:sz w:val="20"/>
                <w:szCs w:val="20"/>
              </w:rPr>
            </w:pPr>
            <w:r w:rsidRPr="00826BEB">
              <w:rPr>
                <w:rStyle w:val="Strong"/>
                <w:sz w:val="20"/>
                <w:szCs w:val="20"/>
              </w:rPr>
              <w:t>Cochrane Library</w:t>
            </w:r>
          </w:p>
        </w:tc>
        <w:tc>
          <w:tcPr>
            <w:tcW w:w="0" w:type="auto"/>
            <w:hideMark/>
          </w:tcPr>
          <w:p w14:paraId="10D15BEE" w14:textId="77777777" w:rsidR="00B45B62" w:rsidRPr="00826BEB" w:rsidRDefault="00B45B62" w:rsidP="00B45B62">
            <w:pPr>
              <w:spacing w:line="480" w:lineRule="auto"/>
              <w:rPr>
                <w:sz w:val="20"/>
                <w:szCs w:val="20"/>
              </w:rPr>
            </w:pPr>
            <w:r w:rsidRPr="00826BEB">
              <w:rPr>
                <w:sz w:val="20"/>
                <w:szCs w:val="20"/>
              </w:rPr>
              <w:t>(“artificial intelligence” OR “machine learning” OR “deep learning”) AND (“quantitative coronary angiography” OR “QCA” OR “AI-QCA”) AND (“percutaneous coronary intervention” OR “PCI” OR “coronary angiography”) AND (“IVUS” OR “OCT” OR “angiography”)</w:t>
            </w:r>
          </w:p>
        </w:tc>
      </w:tr>
    </w:tbl>
    <w:p w14:paraId="48B78A5B" w14:textId="77777777" w:rsidR="00B45B62" w:rsidRDefault="00B45B62" w:rsidP="00FE23A3">
      <w:pPr>
        <w:spacing w:before="100" w:beforeAutospacing="1" w:after="100" w:afterAutospacing="1" w:line="480" w:lineRule="auto"/>
        <w:rPr>
          <w:sz w:val="22"/>
          <w:szCs w:val="22"/>
        </w:rPr>
      </w:pPr>
    </w:p>
    <w:p w14:paraId="3A4F948D" w14:textId="4958B15D" w:rsidR="00B45B62" w:rsidRPr="00B45B62" w:rsidRDefault="00B45B62" w:rsidP="00B45B62">
      <w:pPr>
        <w:spacing w:before="100" w:beforeAutospacing="1" w:after="100" w:afterAutospacing="1" w:line="480" w:lineRule="auto"/>
        <w:rPr>
          <w:i/>
          <w:iCs/>
        </w:rPr>
      </w:pPr>
      <w:r w:rsidRPr="00B45B62">
        <w:rPr>
          <w:i/>
          <w:iCs/>
        </w:rPr>
        <w:t>Supplementary Table S1. Detailed Search Strategy. Comprehensive database search strategies used for study identification in PubMed, Embase, and Cochrane from 2015 to 2026, including keywords and controlled vocabulary terms related to artificial intelligence, quantitative coronary angiography, PCI, IVUS, and OCT.</w:t>
      </w:r>
    </w:p>
    <w:p w14:paraId="77B04BBD" w14:textId="77777777" w:rsidR="00B45B62" w:rsidRDefault="00B45B62" w:rsidP="00FE23A3">
      <w:pPr>
        <w:tabs>
          <w:tab w:val="left" w:pos="3022"/>
        </w:tabs>
        <w:spacing w:line="480" w:lineRule="auto"/>
      </w:pPr>
    </w:p>
    <w:p w14:paraId="2FAB2E1B" w14:textId="77777777" w:rsidR="00B45B62" w:rsidRDefault="00B45B62" w:rsidP="00FE23A3">
      <w:pPr>
        <w:tabs>
          <w:tab w:val="left" w:pos="3022"/>
        </w:tabs>
        <w:spacing w:line="480" w:lineRule="auto"/>
      </w:pPr>
    </w:p>
    <w:tbl>
      <w:tblPr>
        <w:tblStyle w:val="TableGrid"/>
        <w:tblW w:w="10084" w:type="dxa"/>
        <w:tblInd w:w="-5" w:type="dxa"/>
        <w:tblLayout w:type="fixed"/>
        <w:tblLook w:val="04A0" w:firstRow="1" w:lastRow="0" w:firstColumn="1" w:lastColumn="0" w:noHBand="0" w:noVBand="1"/>
      </w:tblPr>
      <w:tblGrid>
        <w:gridCol w:w="869"/>
        <w:gridCol w:w="708"/>
        <w:gridCol w:w="975"/>
        <w:gridCol w:w="992"/>
        <w:gridCol w:w="868"/>
        <w:gridCol w:w="691"/>
        <w:gridCol w:w="728"/>
        <w:gridCol w:w="709"/>
        <w:gridCol w:w="851"/>
        <w:gridCol w:w="992"/>
        <w:gridCol w:w="850"/>
        <w:gridCol w:w="851"/>
      </w:tblGrid>
      <w:tr w:rsidR="00B45B62" w:rsidRPr="00B45B62" w14:paraId="6B964439" w14:textId="77777777" w:rsidTr="00B45B62">
        <w:trPr>
          <w:trHeight w:val="519"/>
        </w:trPr>
        <w:tc>
          <w:tcPr>
            <w:tcW w:w="869" w:type="dxa"/>
          </w:tcPr>
          <w:p w14:paraId="4355925F" w14:textId="081D5EFD" w:rsidR="00B45B62" w:rsidRPr="00B45B62" w:rsidRDefault="00B45B62" w:rsidP="00B45B62">
            <w:pPr>
              <w:spacing w:line="480" w:lineRule="auto"/>
              <w:rPr>
                <w:sz w:val="16"/>
                <w:szCs w:val="16"/>
              </w:rPr>
            </w:pPr>
            <w:r w:rsidRPr="00507323">
              <w:rPr>
                <w:b/>
                <w:bCs/>
                <w:sz w:val="13"/>
                <w:szCs w:val="13"/>
              </w:rPr>
              <w:t>Study (Year)</w:t>
            </w:r>
          </w:p>
        </w:tc>
        <w:tc>
          <w:tcPr>
            <w:tcW w:w="708" w:type="dxa"/>
          </w:tcPr>
          <w:p w14:paraId="44DD1A82" w14:textId="69D1BE24" w:rsidR="00B45B62" w:rsidRPr="00B45B62" w:rsidRDefault="00B45B62" w:rsidP="00B45B62">
            <w:pPr>
              <w:spacing w:line="480" w:lineRule="auto"/>
              <w:rPr>
                <w:sz w:val="16"/>
                <w:szCs w:val="16"/>
              </w:rPr>
            </w:pPr>
            <w:r w:rsidRPr="00507323">
              <w:rPr>
                <w:b/>
                <w:bCs/>
                <w:sz w:val="13"/>
                <w:szCs w:val="13"/>
              </w:rPr>
              <w:t>Country</w:t>
            </w:r>
          </w:p>
        </w:tc>
        <w:tc>
          <w:tcPr>
            <w:tcW w:w="975" w:type="dxa"/>
          </w:tcPr>
          <w:p w14:paraId="714EB874" w14:textId="2E7847B1" w:rsidR="00B45B62" w:rsidRPr="00B45B62" w:rsidRDefault="00B45B62" w:rsidP="00B45B62">
            <w:pPr>
              <w:spacing w:line="480" w:lineRule="auto"/>
              <w:rPr>
                <w:sz w:val="16"/>
                <w:szCs w:val="16"/>
              </w:rPr>
            </w:pPr>
            <w:r w:rsidRPr="00507323">
              <w:rPr>
                <w:b/>
                <w:bCs/>
                <w:sz w:val="13"/>
                <w:szCs w:val="13"/>
              </w:rPr>
              <w:t>Study Design</w:t>
            </w:r>
          </w:p>
        </w:tc>
        <w:tc>
          <w:tcPr>
            <w:tcW w:w="992" w:type="dxa"/>
          </w:tcPr>
          <w:p w14:paraId="74072210" w14:textId="57631842" w:rsidR="00B45B62" w:rsidRPr="00B45B62" w:rsidRDefault="00B45B62" w:rsidP="00B45B62">
            <w:pPr>
              <w:spacing w:line="480" w:lineRule="auto"/>
              <w:rPr>
                <w:sz w:val="16"/>
                <w:szCs w:val="16"/>
              </w:rPr>
            </w:pPr>
            <w:r w:rsidRPr="00507323">
              <w:rPr>
                <w:b/>
                <w:bCs/>
                <w:sz w:val="13"/>
                <w:szCs w:val="13"/>
              </w:rPr>
              <w:t>Comparison</w:t>
            </w:r>
          </w:p>
        </w:tc>
        <w:tc>
          <w:tcPr>
            <w:tcW w:w="868" w:type="dxa"/>
          </w:tcPr>
          <w:p w14:paraId="50B2BD9E" w14:textId="0FA67658" w:rsidR="00B45B62" w:rsidRPr="00B45B62" w:rsidRDefault="00B45B62" w:rsidP="00B45B62">
            <w:pPr>
              <w:spacing w:line="480" w:lineRule="auto"/>
              <w:rPr>
                <w:sz w:val="16"/>
                <w:szCs w:val="16"/>
              </w:rPr>
            </w:pPr>
            <w:r w:rsidRPr="00507323">
              <w:rPr>
                <w:b/>
                <w:bCs/>
                <w:sz w:val="13"/>
                <w:szCs w:val="13"/>
              </w:rPr>
              <w:t>Population</w:t>
            </w:r>
          </w:p>
        </w:tc>
        <w:tc>
          <w:tcPr>
            <w:tcW w:w="691" w:type="dxa"/>
          </w:tcPr>
          <w:p w14:paraId="74212F56" w14:textId="0016C3B2" w:rsidR="00B45B62" w:rsidRPr="00B45B62" w:rsidRDefault="00B45B62" w:rsidP="00B45B62">
            <w:pPr>
              <w:spacing w:line="480" w:lineRule="auto"/>
              <w:rPr>
                <w:sz w:val="16"/>
                <w:szCs w:val="16"/>
              </w:rPr>
            </w:pPr>
            <w:r w:rsidRPr="00507323">
              <w:rPr>
                <w:b/>
                <w:bCs/>
                <w:sz w:val="13"/>
                <w:szCs w:val="13"/>
              </w:rPr>
              <w:t>Sample Size (AI / Control)</w:t>
            </w:r>
          </w:p>
        </w:tc>
        <w:tc>
          <w:tcPr>
            <w:tcW w:w="728" w:type="dxa"/>
          </w:tcPr>
          <w:p w14:paraId="3821E762" w14:textId="045E4036" w:rsidR="00B45B62" w:rsidRPr="00B45B62" w:rsidRDefault="00B45B62" w:rsidP="00B45B62">
            <w:pPr>
              <w:spacing w:line="480" w:lineRule="auto"/>
              <w:rPr>
                <w:sz w:val="16"/>
                <w:szCs w:val="16"/>
              </w:rPr>
            </w:pPr>
            <w:r w:rsidRPr="00507323">
              <w:rPr>
                <w:b/>
                <w:bCs/>
                <w:sz w:val="13"/>
                <w:szCs w:val="13"/>
              </w:rPr>
              <w:t>Total N</w:t>
            </w:r>
          </w:p>
        </w:tc>
        <w:tc>
          <w:tcPr>
            <w:tcW w:w="709" w:type="dxa"/>
          </w:tcPr>
          <w:p w14:paraId="07B67F16" w14:textId="2ED2021B" w:rsidR="00B45B62" w:rsidRPr="00B45B62" w:rsidRDefault="00B45B62" w:rsidP="00B45B62">
            <w:pPr>
              <w:spacing w:line="480" w:lineRule="auto"/>
              <w:rPr>
                <w:sz w:val="16"/>
                <w:szCs w:val="16"/>
              </w:rPr>
            </w:pPr>
            <w:r w:rsidRPr="00507323">
              <w:rPr>
                <w:b/>
                <w:bCs/>
                <w:sz w:val="13"/>
                <w:szCs w:val="13"/>
              </w:rPr>
              <w:t>Follow-up</w:t>
            </w:r>
          </w:p>
        </w:tc>
        <w:tc>
          <w:tcPr>
            <w:tcW w:w="851" w:type="dxa"/>
          </w:tcPr>
          <w:p w14:paraId="7F36125B" w14:textId="49A78691" w:rsidR="00B45B62" w:rsidRPr="00B45B62" w:rsidRDefault="00B45B62" w:rsidP="00B45B62">
            <w:pPr>
              <w:spacing w:line="480" w:lineRule="auto"/>
              <w:rPr>
                <w:sz w:val="16"/>
                <w:szCs w:val="16"/>
              </w:rPr>
            </w:pPr>
            <w:r w:rsidRPr="00507323">
              <w:rPr>
                <w:b/>
                <w:bCs/>
                <w:sz w:val="13"/>
                <w:szCs w:val="13"/>
              </w:rPr>
              <w:t>Primary Outcome</w:t>
            </w:r>
          </w:p>
        </w:tc>
        <w:tc>
          <w:tcPr>
            <w:tcW w:w="992" w:type="dxa"/>
          </w:tcPr>
          <w:p w14:paraId="586B2312" w14:textId="3AE2384A" w:rsidR="00B45B62" w:rsidRPr="00B45B62" w:rsidRDefault="00B45B62" w:rsidP="00B45B62">
            <w:pPr>
              <w:spacing w:line="480" w:lineRule="auto"/>
              <w:rPr>
                <w:sz w:val="16"/>
                <w:szCs w:val="16"/>
              </w:rPr>
            </w:pPr>
            <w:r w:rsidRPr="00507323">
              <w:rPr>
                <w:b/>
                <w:bCs/>
                <w:sz w:val="13"/>
                <w:szCs w:val="13"/>
              </w:rPr>
              <w:t>Secondary Outcomes</w:t>
            </w:r>
          </w:p>
        </w:tc>
        <w:tc>
          <w:tcPr>
            <w:tcW w:w="850" w:type="dxa"/>
          </w:tcPr>
          <w:p w14:paraId="212D46AD" w14:textId="13963552" w:rsidR="00B45B62" w:rsidRPr="00B45B62" w:rsidRDefault="00B45B62" w:rsidP="00B45B62">
            <w:pPr>
              <w:spacing w:line="480" w:lineRule="auto"/>
              <w:rPr>
                <w:sz w:val="16"/>
                <w:szCs w:val="16"/>
              </w:rPr>
            </w:pPr>
            <w:r w:rsidRPr="00507323">
              <w:rPr>
                <w:b/>
                <w:bCs/>
                <w:sz w:val="13"/>
                <w:szCs w:val="13"/>
              </w:rPr>
              <w:t>Key Effect Size</w:t>
            </w:r>
          </w:p>
        </w:tc>
        <w:tc>
          <w:tcPr>
            <w:tcW w:w="851" w:type="dxa"/>
          </w:tcPr>
          <w:p w14:paraId="60FD2C38" w14:textId="04883461" w:rsidR="00B45B62" w:rsidRPr="00B45B62" w:rsidRDefault="00B45B62" w:rsidP="00B45B62">
            <w:pPr>
              <w:spacing w:line="480" w:lineRule="auto"/>
              <w:rPr>
                <w:sz w:val="16"/>
                <w:szCs w:val="16"/>
              </w:rPr>
            </w:pPr>
            <w:r w:rsidRPr="00507323">
              <w:rPr>
                <w:b/>
                <w:bCs/>
                <w:sz w:val="13"/>
                <w:szCs w:val="13"/>
              </w:rPr>
              <w:t>Category</w:t>
            </w:r>
          </w:p>
        </w:tc>
      </w:tr>
      <w:tr w:rsidR="00B45B62" w:rsidRPr="00B45B62" w14:paraId="0ED20F80" w14:textId="77777777" w:rsidTr="00B45B62">
        <w:trPr>
          <w:trHeight w:val="519"/>
        </w:trPr>
        <w:tc>
          <w:tcPr>
            <w:tcW w:w="869" w:type="dxa"/>
          </w:tcPr>
          <w:p w14:paraId="2FEB77DF" w14:textId="7828841C" w:rsidR="00B45B62" w:rsidRPr="00B45B62" w:rsidRDefault="00B45B62" w:rsidP="00B45B62">
            <w:pPr>
              <w:spacing w:line="480" w:lineRule="auto"/>
              <w:rPr>
                <w:sz w:val="16"/>
                <w:szCs w:val="16"/>
              </w:rPr>
            </w:pPr>
            <w:r w:rsidRPr="00B45B62">
              <w:rPr>
                <w:sz w:val="16"/>
                <w:szCs w:val="16"/>
              </w:rPr>
              <w:t>Abdul et al. (2024)</w:t>
            </w:r>
          </w:p>
        </w:tc>
        <w:tc>
          <w:tcPr>
            <w:tcW w:w="708" w:type="dxa"/>
          </w:tcPr>
          <w:p w14:paraId="77627D86" w14:textId="45612207" w:rsidR="00B45B62" w:rsidRPr="00B45B62" w:rsidRDefault="00B45B62" w:rsidP="00B45B62">
            <w:pPr>
              <w:spacing w:line="480" w:lineRule="auto"/>
              <w:rPr>
                <w:sz w:val="16"/>
                <w:szCs w:val="16"/>
              </w:rPr>
            </w:pPr>
            <w:r w:rsidRPr="00B45B62">
              <w:rPr>
                <w:sz w:val="16"/>
                <w:szCs w:val="16"/>
              </w:rPr>
              <w:t>USA/Australia</w:t>
            </w:r>
          </w:p>
        </w:tc>
        <w:tc>
          <w:tcPr>
            <w:tcW w:w="975" w:type="dxa"/>
          </w:tcPr>
          <w:p w14:paraId="187683E1" w14:textId="3A634A20" w:rsidR="00B45B62" w:rsidRPr="00B45B62" w:rsidRDefault="00B45B62" w:rsidP="00B45B62">
            <w:pPr>
              <w:spacing w:line="480" w:lineRule="auto"/>
              <w:rPr>
                <w:sz w:val="16"/>
                <w:szCs w:val="16"/>
              </w:rPr>
            </w:pPr>
            <w:r w:rsidRPr="00B45B62">
              <w:rPr>
                <w:sz w:val="16"/>
                <w:szCs w:val="16"/>
              </w:rPr>
              <w:t>Retrospective validation</w:t>
            </w:r>
          </w:p>
        </w:tc>
        <w:tc>
          <w:tcPr>
            <w:tcW w:w="992" w:type="dxa"/>
          </w:tcPr>
          <w:p w14:paraId="15AE0E81" w14:textId="0E1F7077" w:rsidR="00B45B62" w:rsidRPr="00B45B62" w:rsidRDefault="00B45B62" w:rsidP="00B45B62">
            <w:pPr>
              <w:spacing w:line="480" w:lineRule="auto"/>
              <w:rPr>
                <w:sz w:val="16"/>
                <w:szCs w:val="16"/>
              </w:rPr>
            </w:pPr>
            <w:r w:rsidRPr="00B45B62">
              <w:rPr>
                <w:sz w:val="16"/>
                <w:szCs w:val="16"/>
              </w:rPr>
              <w:t>AI-CCTA vs IVUS</w:t>
            </w:r>
          </w:p>
        </w:tc>
        <w:tc>
          <w:tcPr>
            <w:tcW w:w="868" w:type="dxa"/>
          </w:tcPr>
          <w:p w14:paraId="516F3471" w14:textId="672A399A" w:rsidR="00B45B62" w:rsidRPr="00B45B62" w:rsidRDefault="00B45B62" w:rsidP="00B45B62">
            <w:pPr>
              <w:spacing w:line="480" w:lineRule="auto"/>
              <w:rPr>
                <w:sz w:val="16"/>
                <w:szCs w:val="16"/>
              </w:rPr>
            </w:pPr>
            <w:r w:rsidRPr="00B45B62">
              <w:rPr>
                <w:sz w:val="16"/>
                <w:szCs w:val="16"/>
              </w:rPr>
              <w:t>CT dataset</w:t>
            </w:r>
          </w:p>
        </w:tc>
        <w:tc>
          <w:tcPr>
            <w:tcW w:w="691" w:type="dxa"/>
          </w:tcPr>
          <w:p w14:paraId="323BBB21" w14:textId="59F0C7DF" w:rsidR="00B45B62" w:rsidRPr="00B45B62" w:rsidRDefault="00B45B62" w:rsidP="00B45B62">
            <w:pPr>
              <w:spacing w:line="480" w:lineRule="auto"/>
              <w:rPr>
                <w:sz w:val="16"/>
                <w:szCs w:val="16"/>
              </w:rPr>
            </w:pPr>
            <w:r w:rsidRPr="00B45B62">
              <w:rPr>
                <w:sz w:val="16"/>
                <w:szCs w:val="16"/>
              </w:rPr>
              <w:t>-</w:t>
            </w:r>
          </w:p>
        </w:tc>
        <w:tc>
          <w:tcPr>
            <w:tcW w:w="728" w:type="dxa"/>
          </w:tcPr>
          <w:p w14:paraId="38869FEE" w14:textId="0530AAAE" w:rsidR="00B45B62" w:rsidRPr="00B45B62" w:rsidRDefault="00B45B62" w:rsidP="00B45B62">
            <w:pPr>
              <w:spacing w:line="480" w:lineRule="auto"/>
              <w:rPr>
                <w:sz w:val="16"/>
                <w:szCs w:val="16"/>
              </w:rPr>
            </w:pPr>
            <w:r w:rsidRPr="00B45B62">
              <w:rPr>
                <w:sz w:val="16"/>
                <w:szCs w:val="16"/>
              </w:rPr>
              <w:t>33 pts / 67 vessels</w:t>
            </w:r>
          </w:p>
        </w:tc>
        <w:tc>
          <w:tcPr>
            <w:tcW w:w="709" w:type="dxa"/>
          </w:tcPr>
          <w:p w14:paraId="1FB2371E" w14:textId="37108192" w:rsidR="00B45B62" w:rsidRPr="00B45B62" w:rsidRDefault="00B45B62" w:rsidP="00B45B62">
            <w:pPr>
              <w:spacing w:line="480" w:lineRule="auto"/>
              <w:rPr>
                <w:sz w:val="16"/>
                <w:szCs w:val="16"/>
              </w:rPr>
            </w:pPr>
            <w:r w:rsidRPr="00B45B62">
              <w:rPr>
                <w:sz w:val="16"/>
                <w:szCs w:val="16"/>
              </w:rPr>
              <w:t>NA</w:t>
            </w:r>
          </w:p>
        </w:tc>
        <w:tc>
          <w:tcPr>
            <w:tcW w:w="851" w:type="dxa"/>
          </w:tcPr>
          <w:p w14:paraId="12F94295" w14:textId="0F4785E6" w:rsidR="00B45B62" w:rsidRPr="00B45B62" w:rsidRDefault="00B45B62" w:rsidP="00B45B62">
            <w:pPr>
              <w:spacing w:line="480" w:lineRule="auto"/>
              <w:rPr>
                <w:sz w:val="16"/>
                <w:szCs w:val="16"/>
              </w:rPr>
            </w:pPr>
            <w:r w:rsidRPr="00B45B62">
              <w:rPr>
                <w:sz w:val="16"/>
                <w:szCs w:val="16"/>
              </w:rPr>
              <w:t>Vessel volume correlation</w:t>
            </w:r>
          </w:p>
        </w:tc>
        <w:tc>
          <w:tcPr>
            <w:tcW w:w="992" w:type="dxa"/>
          </w:tcPr>
          <w:p w14:paraId="7F7C08F2" w14:textId="45E88373" w:rsidR="00B45B62" w:rsidRPr="00B45B62" w:rsidRDefault="00B45B62" w:rsidP="00B45B62">
            <w:pPr>
              <w:spacing w:line="480" w:lineRule="auto"/>
              <w:rPr>
                <w:sz w:val="16"/>
                <w:szCs w:val="16"/>
              </w:rPr>
            </w:pPr>
            <w:r w:rsidRPr="00B45B62">
              <w:rPr>
                <w:sz w:val="16"/>
                <w:szCs w:val="16"/>
              </w:rPr>
              <w:t>Plaque volume</w:t>
            </w:r>
          </w:p>
        </w:tc>
        <w:tc>
          <w:tcPr>
            <w:tcW w:w="850" w:type="dxa"/>
          </w:tcPr>
          <w:p w14:paraId="54701C4E" w14:textId="0407A3C7" w:rsidR="00B45B62" w:rsidRPr="00B45B62" w:rsidRDefault="00B45B62" w:rsidP="00B45B62">
            <w:pPr>
              <w:spacing w:line="480" w:lineRule="auto"/>
              <w:rPr>
                <w:sz w:val="16"/>
                <w:szCs w:val="16"/>
              </w:rPr>
            </w:pPr>
            <w:r w:rsidRPr="00B45B62">
              <w:rPr>
                <w:sz w:val="16"/>
                <w:szCs w:val="16"/>
              </w:rPr>
              <w:t>ρ = 0.94–0.97</w:t>
            </w:r>
          </w:p>
        </w:tc>
        <w:tc>
          <w:tcPr>
            <w:tcW w:w="851" w:type="dxa"/>
          </w:tcPr>
          <w:p w14:paraId="6BFAC7DB" w14:textId="3422CA55" w:rsidR="00B45B62" w:rsidRPr="00B45B62" w:rsidRDefault="00B45B62" w:rsidP="00B45B62">
            <w:pPr>
              <w:spacing w:line="480" w:lineRule="auto"/>
              <w:rPr>
                <w:sz w:val="16"/>
                <w:szCs w:val="16"/>
              </w:rPr>
            </w:pPr>
            <w:r w:rsidRPr="00B45B62">
              <w:rPr>
                <w:sz w:val="16"/>
                <w:szCs w:val="16"/>
              </w:rPr>
              <w:t>Background</w:t>
            </w:r>
          </w:p>
        </w:tc>
      </w:tr>
      <w:tr w:rsidR="00B45B62" w:rsidRPr="00B45B62" w14:paraId="6FAAE93F" w14:textId="77777777" w:rsidTr="00B45B62">
        <w:trPr>
          <w:trHeight w:val="668"/>
        </w:trPr>
        <w:tc>
          <w:tcPr>
            <w:tcW w:w="869" w:type="dxa"/>
            <w:hideMark/>
          </w:tcPr>
          <w:p w14:paraId="7C7D0A79" w14:textId="77777777" w:rsidR="00B45B62" w:rsidRPr="00B45B62" w:rsidRDefault="00B45B62" w:rsidP="00B45B62">
            <w:pPr>
              <w:spacing w:line="480" w:lineRule="auto"/>
              <w:rPr>
                <w:sz w:val="16"/>
                <w:szCs w:val="16"/>
              </w:rPr>
            </w:pPr>
            <w:r w:rsidRPr="00B45B62">
              <w:rPr>
                <w:sz w:val="16"/>
                <w:szCs w:val="16"/>
              </w:rPr>
              <w:lastRenderedPageBreak/>
              <w:t>Narula et al. (REVEALPLAQUE, 2024)</w:t>
            </w:r>
          </w:p>
        </w:tc>
        <w:tc>
          <w:tcPr>
            <w:tcW w:w="708" w:type="dxa"/>
            <w:hideMark/>
          </w:tcPr>
          <w:p w14:paraId="6407B7DF" w14:textId="77777777" w:rsidR="00B45B62" w:rsidRPr="00B45B62" w:rsidRDefault="00B45B62" w:rsidP="00B45B62">
            <w:pPr>
              <w:spacing w:line="480" w:lineRule="auto"/>
              <w:rPr>
                <w:sz w:val="16"/>
                <w:szCs w:val="16"/>
              </w:rPr>
            </w:pPr>
            <w:r w:rsidRPr="00B45B62">
              <w:rPr>
                <w:sz w:val="16"/>
                <w:szCs w:val="16"/>
              </w:rPr>
              <w:t>USA + Japan</w:t>
            </w:r>
          </w:p>
        </w:tc>
        <w:tc>
          <w:tcPr>
            <w:tcW w:w="975" w:type="dxa"/>
            <w:hideMark/>
          </w:tcPr>
          <w:p w14:paraId="1725BFDB" w14:textId="77777777" w:rsidR="00B45B62" w:rsidRPr="00B45B62" w:rsidRDefault="00B45B62" w:rsidP="00B45B62">
            <w:pPr>
              <w:spacing w:line="480" w:lineRule="auto"/>
              <w:rPr>
                <w:sz w:val="16"/>
                <w:szCs w:val="16"/>
              </w:rPr>
            </w:pPr>
            <w:proofErr w:type="spellStart"/>
            <w:r w:rsidRPr="00B45B62">
              <w:rPr>
                <w:sz w:val="16"/>
                <w:szCs w:val="16"/>
              </w:rPr>
              <w:t>Multicenter</w:t>
            </w:r>
            <w:proofErr w:type="spellEnd"/>
            <w:r w:rsidRPr="00B45B62">
              <w:rPr>
                <w:sz w:val="16"/>
                <w:szCs w:val="16"/>
              </w:rPr>
              <w:t xml:space="preserve"> prospective</w:t>
            </w:r>
          </w:p>
        </w:tc>
        <w:tc>
          <w:tcPr>
            <w:tcW w:w="992" w:type="dxa"/>
            <w:hideMark/>
          </w:tcPr>
          <w:p w14:paraId="1E3DDFDF" w14:textId="77777777" w:rsidR="00B45B62" w:rsidRPr="00B45B62" w:rsidRDefault="00B45B62" w:rsidP="00B45B62">
            <w:pPr>
              <w:spacing w:line="480" w:lineRule="auto"/>
              <w:rPr>
                <w:sz w:val="16"/>
                <w:szCs w:val="16"/>
              </w:rPr>
            </w:pPr>
            <w:r w:rsidRPr="00B45B62">
              <w:rPr>
                <w:sz w:val="16"/>
                <w:szCs w:val="16"/>
              </w:rPr>
              <w:t>AI-CCTA vs IVUS</w:t>
            </w:r>
          </w:p>
        </w:tc>
        <w:tc>
          <w:tcPr>
            <w:tcW w:w="868" w:type="dxa"/>
            <w:hideMark/>
          </w:tcPr>
          <w:p w14:paraId="46C2210A" w14:textId="77777777" w:rsidR="00B45B62" w:rsidRPr="00B45B62" w:rsidRDefault="00B45B62" w:rsidP="00B45B62">
            <w:pPr>
              <w:spacing w:line="480" w:lineRule="auto"/>
              <w:rPr>
                <w:sz w:val="16"/>
                <w:szCs w:val="16"/>
              </w:rPr>
            </w:pPr>
            <w:r w:rsidRPr="00B45B62">
              <w:rPr>
                <w:sz w:val="16"/>
                <w:szCs w:val="16"/>
              </w:rPr>
              <w:t>CAD</w:t>
            </w:r>
          </w:p>
        </w:tc>
        <w:tc>
          <w:tcPr>
            <w:tcW w:w="691" w:type="dxa"/>
            <w:hideMark/>
          </w:tcPr>
          <w:p w14:paraId="207A4ADC" w14:textId="77777777" w:rsidR="00B45B62" w:rsidRPr="00B45B62" w:rsidRDefault="00B45B62" w:rsidP="00B45B62">
            <w:pPr>
              <w:spacing w:line="480" w:lineRule="auto"/>
              <w:rPr>
                <w:sz w:val="16"/>
                <w:szCs w:val="16"/>
              </w:rPr>
            </w:pPr>
            <w:r w:rsidRPr="00B45B62">
              <w:rPr>
                <w:sz w:val="16"/>
                <w:szCs w:val="16"/>
              </w:rPr>
              <w:t>-</w:t>
            </w:r>
          </w:p>
        </w:tc>
        <w:tc>
          <w:tcPr>
            <w:tcW w:w="728" w:type="dxa"/>
            <w:hideMark/>
          </w:tcPr>
          <w:p w14:paraId="0E96A5AD" w14:textId="77777777" w:rsidR="00B45B62" w:rsidRPr="00B45B62" w:rsidRDefault="00B45B62" w:rsidP="00B45B62">
            <w:pPr>
              <w:spacing w:line="480" w:lineRule="auto"/>
              <w:rPr>
                <w:sz w:val="16"/>
                <w:szCs w:val="16"/>
              </w:rPr>
            </w:pPr>
            <w:r w:rsidRPr="00B45B62">
              <w:rPr>
                <w:sz w:val="16"/>
                <w:szCs w:val="16"/>
              </w:rPr>
              <w:t>237 pts / 432 lesions</w:t>
            </w:r>
          </w:p>
        </w:tc>
        <w:tc>
          <w:tcPr>
            <w:tcW w:w="709" w:type="dxa"/>
            <w:hideMark/>
          </w:tcPr>
          <w:p w14:paraId="445EA9D3" w14:textId="77777777" w:rsidR="00B45B62" w:rsidRPr="00B45B62" w:rsidRDefault="00B45B62" w:rsidP="00B45B62">
            <w:pPr>
              <w:spacing w:line="480" w:lineRule="auto"/>
              <w:rPr>
                <w:sz w:val="16"/>
                <w:szCs w:val="16"/>
              </w:rPr>
            </w:pPr>
            <w:r w:rsidRPr="00B45B62">
              <w:rPr>
                <w:sz w:val="16"/>
                <w:szCs w:val="16"/>
              </w:rPr>
              <w:t>NA</w:t>
            </w:r>
          </w:p>
        </w:tc>
        <w:tc>
          <w:tcPr>
            <w:tcW w:w="851" w:type="dxa"/>
            <w:hideMark/>
          </w:tcPr>
          <w:p w14:paraId="7EA5E488" w14:textId="77777777" w:rsidR="00B45B62" w:rsidRPr="00B45B62" w:rsidRDefault="00B45B62" w:rsidP="00B45B62">
            <w:pPr>
              <w:spacing w:line="480" w:lineRule="auto"/>
              <w:rPr>
                <w:sz w:val="16"/>
                <w:szCs w:val="16"/>
              </w:rPr>
            </w:pPr>
            <w:r w:rsidRPr="00B45B62">
              <w:rPr>
                <w:sz w:val="16"/>
                <w:szCs w:val="16"/>
              </w:rPr>
              <w:t>Plaque volume</w:t>
            </w:r>
          </w:p>
        </w:tc>
        <w:tc>
          <w:tcPr>
            <w:tcW w:w="992" w:type="dxa"/>
            <w:hideMark/>
          </w:tcPr>
          <w:p w14:paraId="3D3D304A" w14:textId="77777777" w:rsidR="00B45B62" w:rsidRPr="00B45B62" w:rsidRDefault="00B45B62" w:rsidP="00B45B62">
            <w:pPr>
              <w:spacing w:line="480" w:lineRule="auto"/>
              <w:rPr>
                <w:sz w:val="16"/>
                <w:szCs w:val="16"/>
              </w:rPr>
            </w:pPr>
            <w:r w:rsidRPr="00B45B62">
              <w:rPr>
                <w:sz w:val="16"/>
                <w:szCs w:val="16"/>
              </w:rPr>
              <w:t>Agreement</w:t>
            </w:r>
          </w:p>
        </w:tc>
        <w:tc>
          <w:tcPr>
            <w:tcW w:w="850" w:type="dxa"/>
            <w:hideMark/>
          </w:tcPr>
          <w:p w14:paraId="6F725C86" w14:textId="77777777" w:rsidR="00B45B62" w:rsidRPr="00B45B62" w:rsidRDefault="00B45B62" w:rsidP="00B45B62">
            <w:pPr>
              <w:spacing w:line="480" w:lineRule="auto"/>
              <w:rPr>
                <w:sz w:val="16"/>
                <w:szCs w:val="16"/>
              </w:rPr>
            </w:pPr>
            <w:r w:rsidRPr="00B45B62">
              <w:rPr>
                <w:sz w:val="16"/>
                <w:szCs w:val="16"/>
              </w:rPr>
              <w:t>r = 0.91, slope = 0.99</w:t>
            </w:r>
          </w:p>
        </w:tc>
        <w:tc>
          <w:tcPr>
            <w:tcW w:w="851" w:type="dxa"/>
            <w:hideMark/>
          </w:tcPr>
          <w:p w14:paraId="75CA0A3C" w14:textId="77777777" w:rsidR="00B45B62" w:rsidRDefault="00B45B62" w:rsidP="00B45B62">
            <w:pPr>
              <w:spacing w:line="480" w:lineRule="auto"/>
              <w:rPr>
                <w:sz w:val="16"/>
                <w:szCs w:val="16"/>
              </w:rPr>
            </w:pPr>
            <w:r w:rsidRPr="00B45B62">
              <w:rPr>
                <w:sz w:val="16"/>
                <w:szCs w:val="16"/>
              </w:rPr>
              <w:t>Background</w:t>
            </w:r>
          </w:p>
          <w:p w14:paraId="5C15D3AC" w14:textId="77777777" w:rsidR="00B45B62" w:rsidRDefault="00B45B62" w:rsidP="00B45B62">
            <w:pPr>
              <w:spacing w:line="480" w:lineRule="auto"/>
              <w:rPr>
                <w:sz w:val="16"/>
                <w:szCs w:val="16"/>
              </w:rPr>
            </w:pPr>
          </w:p>
          <w:p w14:paraId="5E72DE60" w14:textId="77777777" w:rsidR="00B45B62" w:rsidRDefault="00B45B62" w:rsidP="00B45B62">
            <w:pPr>
              <w:spacing w:line="480" w:lineRule="auto"/>
              <w:rPr>
                <w:sz w:val="16"/>
                <w:szCs w:val="16"/>
              </w:rPr>
            </w:pPr>
          </w:p>
          <w:p w14:paraId="11547220" w14:textId="77777777" w:rsidR="00B45B62" w:rsidRPr="00B45B62" w:rsidRDefault="00B45B62" w:rsidP="00B45B62">
            <w:pPr>
              <w:spacing w:line="480" w:lineRule="auto"/>
              <w:rPr>
                <w:sz w:val="16"/>
                <w:szCs w:val="16"/>
              </w:rPr>
            </w:pPr>
          </w:p>
        </w:tc>
      </w:tr>
    </w:tbl>
    <w:p w14:paraId="0AC31BDD" w14:textId="77777777" w:rsidR="00FE23A3" w:rsidRDefault="00FE23A3" w:rsidP="00FE23A3">
      <w:pPr>
        <w:tabs>
          <w:tab w:val="left" w:pos="3022"/>
        </w:tabs>
        <w:spacing w:line="480" w:lineRule="auto"/>
        <w:rPr>
          <w:sz w:val="16"/>
          <w:szCs w:val="16"/>
        </w:rPr>
      </w:pPr>
    </w:p>
    <w:p w14:paraId="7DAE3A4D" w14:textId="7A3BF4FA" w:rsidR="00B45B62" w:rsidRPr="00B45B62" w:rsidRDefault="00B45B62" w:rsidP="00FE23A3">
      <w:pPr>
        <w:tabs>
          <w:tab w:val="left" w:pos="3022"/>
        </w:tabs>
        <w:spacing w:line="480" w:lineRule="auto"/>
        <w:rPr>
          <w:i/>
          <w:iCs/>
        </w:rPr>
      </w:pPr>
      <w:r w:rsidRPr="00B45B62">
        <w:rPr>
          <w:i/>
          <w:iCs/>
        </w:rPr>
        <w:t>Supplementary Table S2. Supporting Study Characteristics. Expanded summary of contextual and supporting studies relevant to AI-assisted coronary imaging and intravascular imaging–guided PCI included for background interpretation.</w:t>
      </w:r>
    </w:p>
    <w:p w14:paraId="7A109811" w14:textId="77777777" w:rsidR="00FE23A3" w:rsidRDefault="00FE23A3" w:rsidP="00FE23A3">
      <w:pPr>
        <w:spacing w:before="100" w:beforeAutospacing="1" w:after="100" w:afterAutospacing="1" w:line="480" w:lineRule="auto"/>
        <w:rPr>
          <w:sz w:val="22"/>
          <w:szCs w:val="22"/>
        </w:rPr>
      </w:pPr>
    </w:p>
    <w:p w14:paraId="69A6B983" w14:textId="77777777" w:rsidR="00FE23A3" w:rsidRDefault="00FE23A3" w:rsidP="00FE23A3">
      <w:pPr>
        <w:spacing w:before="100" w:beforeAutospacing="1" w:after="100" w:afterAutospacing="1" w:line="480" w:lineRule="auto"/>
        <w:rPr>
          <w:sz w:val="22"/>
          <w:szCs w:val="22"/>
        </w:rPr>
      </w:pPr>
    </w:p>
    <w:p w14:paraId="35ECF250" w14:textId="77777777" w:rsidR="00FE23A3" w:rsidRDefault="00FE23A3"/>
    <w:sectPr w:rsidR="00FE2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A3"/>
    <w:rsid w:val="00AC357B"/>
    <w:rsid w:val="00B45B62"/>
    <w:rsid w:val="00D676F5"/>
    <w:rsid w:val="00FE23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3EEDB08"/>
  <w15:chartTrackingRefBased/>
  <w15:docId w15:val="{3FC206C8-91A5-7B41-8BAD-38211E82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3A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E23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E23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E23A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E23A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E23A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E23A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E23A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E23A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E23A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3A3"/>
    <w:rPr>
      <w:rFonts w:eastAsiaTheme="majorEastAsia" w:cstheme="majorBidi"/>
      <w:color w:val="272727" w:themeColor="text1" w:themeTint="D8"/>
    </w:rPr>
  </w:style>
  <w:style w:type="paragraph" w:styleId="Title">
    <w:name w:val="Title"/>
    <w:basedOn w:val="Normal"/>
    <w:next w:val="Normal"/>
    <w:link w:val="TitleChar"/>
    <w:uiPriority w:val="10"/>
    <w:qFormat/>
    <w:rsid w:val="00FE23A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E2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3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E2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3A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E23A3"/>
    <w:rPr>
      <w:i/>
      <w:iCs/>
      <w:color w:val="404040" w:themeColor="text1" w:themeTint="BF"/>
    </w:rPr>
  </w:style>
  <w:style w:type="paragraph" w:styleId="ListParagraph">
    <w:name w:val="List Paragraph"/>
    <w:basedOn w:val="Normal"/>
    <w:uiPriority w:val="34"/>
    <w:qFormat/>
    <w:rsid w:val="00FE23A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E23A3"/>
    <w:rPr>
      <w:i/>
      <w:iCs/>
      <w:color w:val="0F4761" w:themeColor="accent1" w:themeShade="BF"/>
    </w:rPr>
  </w:style>
  <w:style w:type="paragraph" w:styleId="IntenseQuote">
    <w:name w:val="Intense Quote"/>
    <w:basedOn w:val="Normal"/>
    <w:next w:val="Normal"/>
    <w:link w:val="IntenseQuoteChar"/>
    <w:uiPriority w:val="30"/>
    <w:qFormat/>
    <w:rsid w:val="00FE23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E23A3"/>
    <w:rPr>
      <w:i/>
      <w:iCs/>
      <w:color w:val="0F4761" w:themeColor="accent1" w:themeShade="BF"/>
    </w:rPr>
  </w:style>
  <w:style w:type="character" w:styleId="IntenseReference">
    <w:name w:val="Intense Reference"/>
    <w:basedOn w:val="DefaultParagraphFont"/>
    <w:uiPriority w:val="32"/>
    <w:qFormat/>
    <w:rsid w:val="00FE23A3"/>
    <w:rPr>
      <w:b/>
      <w:bCs/>
      <w:smallCaps/>
      <w:color w:val="0F4761" w:themeColor="accent1" w:themeShade="BF"/>
      <w:spacing w:val="5"/>
    </w:rPr>
  </w:style>
  <w:style w:type="character" w:styleId="Strong">
    <w:name w:val="Strong"/>
    <w:basedOn w:val="DefaultParagraphFont"/>
    <w:uiPriority w:val="22"/>
    <w:qFormat/>
    <w:rsid w:val="00FE23A3"/>
    <w:rPr>
      <w:b/>
      <w:bCs/>
    </w:rPr>
  </w:style>
  <w:style w:type="table" w:styleId="TableGrid">
    <w:name w:val="Table Grid"/>
    <w:basedOn w:val="TableNormal"/>
    <w:uiPriority w:val="39"/>
    <w:rsid w:val="00FE2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 Nimmagadda</dc:creator>
  <cp:keywords/>
  <dc:description/>
  <cp:lastModifiedBy>Ramu Nimmagadda</cp:lastModifiedBy>
  <cp:revision>2</cp:revision>
  <dcterms:created xsi:type="dcterms:W3CDTF">2026-05-15T05:57:00Z</dcterms:created>
  <dcterms:modified xsi:type="dcterms:W3CDTF">2026-05-18T05:48:00Z</dcterms:modified>
</cp:coreProperties>
</file>