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5AEB9">
      <w:pPr>
        <w:spacing w:before="120" w:after="80"/>
        <w:jc w:val="center"/>
        <w:rPr>
          <w:rFonts w:hint="default" w:ascii="Times New Roman" w:hAnsi="Times New Roman" w:cs="Times New Roman"/>
          <w:i/>
          <w:iCs/>
          <w:color w:val="auto"/>
          <w:sz w:val="36"/>
          <w:szCs w:val="36"/>
        </w:rPr>
      </w:pPr>
      <w:r>
        <w:rPr>
          <w:rFonts w:hint="default" w:ascii="Times New Roman" w:hAnsi="Times New Roman" w:cs="Times New Roman"/>
          <w:b/>
          <w:i/>
          <w:iCs/>
          <w:color w:val="auto"/>
          <w:sz w:val="36"/>
          <w:szCs w:val="36"/>
        </w:rPr>
        <w:t>Figure Legends and Table Notes</w:t>
      </w:r>
    </w:p>
    <w:p w14:paraId="2586A6C4">
      <w:pPr>
        <w:spacing w:after="400"/>
        <w:jc w:val="center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  <w:t>Dynamic lactate trajectories within 48 hours of ICU admission predict mortality in severe pneumonia: a retrospective cohort study with external validation</w:t>
      </w: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  <w:t>Journal: Journal of Intensive Care</w:t>
      </w:r>
    </w:p>
    <w:p w14:paraId="606394D1">
      <w:pPr>
        <w:spacing w:after="400"/>
        <w:jc w:val="center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bookmarkStart w:id="0" w:name="_GoBack"/>
      <w:bookmarkEnd w:id="0"/>
    </w:p>
    <w:p w14:paraId="39B8786F">
      <w:pP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  <w:br w:type="page"/>
      </w:r>
    </w:p>
    <w:p w14:paraId="61E6314C">
      <w:pPr>
        <w:spacing w:before="240" w:after="80"/>
        <w:rPr>
          <w:rFonts w:hint="default" w:ascii="Times New Roman" w:hAnsi="Times New Roman" w:cs="Times New Roman"/>
          <w:i/>
          <w:iCs/>
          <w:color w:val="auto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8"/>
          <w:szCs w:val="28"/>
        </w:rPr>
        <w:t>Supplementary Figures</w:t>
      </w:r>
    </w:p>
    <w:p w14:paraId="56FE08A6">
      <w:pPr>
        <w:spacing w:before="160" w:after="8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Figure S1</w:t>
      </w:r>
    </w:p>
    <w:p w14:paraId="6A9EB28D">
      <w:pPr>
        <w:spacing w:before="40" w:after="8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Figure S1.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Latent growth mixture model selection criteria for k = 1–5 trajectory classes.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 xml:space="preserve"> (A) Bayesian information criterion (BIC) plotted against the number of classes. Lower BIC indicates better fit. (B) Relative entropy plotted against the number of classes. Values ≥ 0.60 indicate acceptable class separation. The four-class solution (k = 4: BIC = 14,050, entropy = 0.680) was selected.</w:t>
      </w:r>
    </w:p>
    <w:p w14:paraId="6534BACA">
      <w:pPr>
        <w:spacing w:before="2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BIC, Bayesian information criterion; k, number of trajectory classes; LGMM, latent growth mixture model.</w:t>
      </w:r>
    </w:p>
    <w:p w14:paraId="32EEC2FB">
      <w:pPr>
        <w:spacing w:before="160" w:after="8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Figure S2</w:t>
      </w:r>
    </w:p>
    <w:p w14:paraId="0CBAEABB">
      <w:pPr>
        <w:spacing w:before="40" w:after="8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Figure S2.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Lactate trajectory phenotypes in the external validation cohort (SGH, n = 289).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 xml:space="preserve"> Mean lactate with 95% confidence intervals (shaded ribbons) at 0, 12, 24, 36, and 48 hours. The dashed line at 2.0 mmol/L indicates the upper limit of normal. The trajectory patterns are consistent with the derivation cohort (Fig. 2). Sample sizes are shown in the panel headers.</w:t>
      </w:r>
    </w:p>
    <w:p w14:paraId="79CBCFB6">
      <w:pPr>
        <w:spacing w:before="2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CI, confidence interval; mmol/L, millimoles per litre; SGH, Shanghai General Hospital; T1–T4, trajectory phenotypes 1–4.</w:t>
      </w:r>
    </w:p>
    <w:p w14:paraId="1AEC79C6">
      <w:pPr>
        <w:spacing w:before="160" w:after="8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Figure S3</w:t>
      </w:r>
    </w:p>
    <w:p w14:paraId="7D084FC2">
      <w:pPr>
        <w:spacing w:before="40" w:after="8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Figure S3.</w:t>
      </w:r>
      <w:r>
        <w:rPr>
          <w:rFonts w:hint="default" w:ascii="Times New Roman" w:hAnsi="Times New Roman" w:eastAsia="Arial" w:cs="Times New Roman"/>
          <w:b/>
          <w:bCs w:val="0"/>
          <w:i/>
          <w:iCs/>
          <w:color w:val="auto"/>
          <w:sz w:val="24"/>
          <w:szCs w:val="24"/>
        </w:rPr>
        <w:t xml:space="preserve"> Schoenfeld residual plots for the 90-day multivariable Cox model (MIMIC</w:t>
      </w:r>
      <w:r>
        <w:rPr>
          <w:rFonts w:hint="eastAsia" w:ascii="Times New Roman" w:hAnsi="Times New Roman" w:eastAsia="宋体" w:cs="Times New Roman"/>
          <w:b/>
          <w:bCs w:val="0"/>
          <w:i/>
          <w:iCs/>
          <w:color w:val="auto"/>
          <w:sz w:val="24"/>
          <w:szCs w:val="24"/>
          <w:lang w:val="en-US" w:eastAsia="zh-CN"/>
        </w:rPr>
        <w:t>-IV</w:t>
      </w:r>
      <w:r>
        <w:rPr>
          <w:rFonts w:hint="default" w:ascii="Times New Roman" w:hAnsi="Times New Roman" w:eastAsia="Arial" w:cs="Times New Roman"/>
          <w:b/>
          <w:bCs w:val="0"/>
          <w:i/>
          <w:iCs/>
          <w:color w:val="auto"/>
          <w:sz w:val="24"/>
          <w:szCs w:val="24"/>
        </w:rPr>
        <w:t>, n = 870).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 xml:space="preserve"> Scaled Schoenfeld residuals are plotted against follow-up time for each covariate. A smoothed spline with 95% confidence bands is overlaid. The global Grambsch–Therneau test indicated departure from proportional hazards (p &lt; 0.001); hazard ratios should therefore be interpreted as average effects over the follow-up period.</w:t>
      </w:r>
    </w:p>
    <w:p w14:paraId="42E8B379">
      <w:pPr>
        <w:spacing w:before="2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APS III, Acute Physiology Score III; COPD, chronic obstructive pulmonary disease; PH, proportional hazards; SOFA, Sequential Organ Failure Assessment.</w:t>
      </w:r>
    </w:p>
    <w:p w14:paraId="7439F54E">
      <w:pPr>
        <w:spacing w:before="160" w:after="8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Figure S4</w:t>
      </w:r>
    </w:p>
    <w:p w14:paraId="6E84B50F">
      <w:pPr>
        <w:spacing w:before="40" w:after="8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Figure S4.</w:t>
      </w:r>
      <w:r>
        <w:rPr>
          <w:rFonts w:hint="default" w:ascii="Times New Roman" w:hAnsi="Times New Roman" w:eastAsia="Arial" w:cs="Times New Roman"/>
          <w:b/>
          <w:bCs w:val="0"/>
          <w:i/>
          <w:iCs/>
          <w:color w:val="auto"/>
          <w:sz w:val="24"/>
          <w:szCs w:val="24"/>
        </w:rPr>
        <w:t xml:space="preserve"> Forest plot of 90-day mortality hazard ratios for T2 versus T1 across pre-specified clinical subgroups (MIMIC</w:t>
      </w:r>
      <w:r>
        <w:rPr>
          <w:rFonts w:hint="eastAsia" w:ascii="Times New Roman" w:hAnsi="Times New Roman" w:eastAsia="宋体" w:cs="Times New Roman"/>
          <w:b/>
          <w:bCs w:val="0"/>
          <w:i/>
          <w:iCs/>
          <w:color w:val="auto"/>
          <w:sz w:val="24"/>
          <w:szCs w:val="24"/>
          <w:lang w:val="en-US" w:eastAsia="zh-CN"/>
        </w:rPr>
        <w:t>-IV</w:t>
      </w:r>
      <w:r>
        <w:rPr>
          <w:rFonts w:hint="default" w:ascii="Times New Roman" w:hAnsi="Times New Roman" w:eastAsia="Arial" w:cs="Times New Roman"/>
          <w:b/>
          <w:bCs w:val="0"/>
          <w:i/>
          <w:iCs/>
          <w:color w:val="auto"/>
          <w:sz w:val="24"/>
          <w:szCs w:val="24"/>
        </w:rPr>
        <w:t>).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 xml:space="preserve"> Unadjusted hazard ratios with 95% confidence intervals from separate Cox models within each subgroup. The vertical dashed line at HR = 1.0 represents no difference. Red squares indicate p &lt; 0.05; blue squares indicate p ≥ 0.05. This analysis was exploratory and not powered for formal interaction testing.</w:t>
      </w:r>
    </w:p>
    <w:p w14:paraId="7422E6E0">
      <w:pPr>
        <w:spacing w:before="2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CI, confidence interval; COPD, chronic obstructive pulmonary disease; HR, hazard ratio; T1, Stable-normal; T2, Fluctuating-worsening.</w:t>
      </w:r>
    </w:p>
    <w:p w14:paraId="7A0004E6">
      <w:pPr>
        <w:spacing w:before="160" w:after="8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Figure S5</w:t>
      </w:r>
    </w:p>
    <w:p w14:paraId="6DC8F08D">
      <w:pPr>
        <w:spacing w:before="40" w:after="8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Figure S5.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Time-dependent AUC for mortality prediction: SOFA alone versus lactate trajectory-augmented model (MIMIC</w:t>
      </w:r>
      <w:r>
        <w:rPr>
          <w:rFonts w:hint="eastAsia" w:ascii="Times New Roman" w:hAnsi="Times New Roman" w:eastAsia="宋体" w:cs="Times New Roman"/>
          <w:b/>
          <w:bCs w:val="0"/>
          <w:i/>
          <w:iCs/>
          <w:color w:val="auto"/>
          <w:sz w:val="24"/>
          <w:szCs w:val="24"/>
          <w:lang w:val="en-US" w:eastAsia="zh-CN"/>
        </w:rPr>
        <w:t>-IV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 xml:space="preserve">, n = 870). 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The blue solid line represents the trajectory-augmented model (adjusted for age, sex, COPD, SOFA, and APS III); the red dashed line represents the SOFA-only model. AUC values at 28, 60, and 90 days are annotated. The trajectory-augmented model showed significantly higher AUC at all time points (28-day: 0.696 vs. 0.624, p = 0.007; 60-day: 0.696 vs. 0.608, p &lt; 0.001; 90-day: 0.694 vs. 0.621, p = 0.004).</w:t>
      </w:r>
    </w:p>
    <w:p w14:paraId="50C13AF2">
      <w:pPr>
        <w:spacing w:before="2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APS III, Acute Physiology Score III; AUC, area under the receiver operating characteristic curve; COPD, chronic obstructive pulmonary disease; SOFA, Sequential Organ Failure Assessment.</w:t>
      </w:r>
    </w:p>
    <w:p w14:paraId="1FFF3B25">
      <w:pP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  <w:br w:type="page"/>
      </w:r>
    </w:p>
    <w:p w14:paraId="16044361">
      <w:pPr>
        <w:rPr>
          <w:rFonts w:hint="eastAsia" w:ascii="Times New Roman" w:hAnsi="Times New Roman" w:eastAsia="宋体" w:cs="Times New Roman"/>
          <w:i/>
          <w:iCs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i/>
          <w:iCs/>
          <w:color w:val="auto"/>
          <w:sz w:val="24"/>
          <w:szCs w:val="24"/>
          <w:lang w:eastAsia="zh-CN"/>
        </w:rPr>
        <w:drawing>
          <wp:inline distT="0" distB="0" distL="114300" distR="114300">
            <wp:extent cx="6407150" cy="3056890"/>
            <wp:effectExtent l="0" t="0" r="3175" b="635"/>
            <wp:docPr id="3" name="图片 3" descr="FigS1_LGMM_model_sel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S1_LGMM_model_selectio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57B7B">
      <w:pP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Figure S1.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Latent growth mixture model selection criteria for k = 1–5 trajectory classes.</w:t>
      </w:r>
    </w:p>
    <w:p w14:paraId="10AD38E1">
      <w:pPr>
        <w:rPr>
          <w:rFonts w:hint="eastAsia" w:ascii="Times New Roman" w:hAnsi="Times New Roman" w:eastAsia="宋体" w:cs="Times New Roman"/>
          <w:i/>
          <w:iCs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i/>
          <w:iCs/>
          <w:color w:val="auto"/>
          <w:sz w:val="24"/>
          <w:szCs w:val="24"/>
          <w:lang w:eastAsia="zh-CN"/>
        </w:rPr>
        <w:drawing>
          <wp:inline distT="0" distB="0" distL="114300" distR="114300">
            <wp:extent cx="7788910" cy="3940810"/>
            <wp:effectExtent l="0" t="0" r="2540" b="2540"/>
            <wp:docPr id="4" name="图片 4" descr="FigS2_trajectory_valid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S2_trajectory_validation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88910" cy="394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DB360">
      <w:pP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Figure S2.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Lactate trajectory phenotypes in the external validation cohort (SGH, n = 289).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 xml:space="preserve"> </w:t>
      </w:r>
    </w:p>
    <w:p w14:paraId="56C6A306">
      <w:pPr>
        <w:rPr>
          <w:rFonts w:hint="eastAsia" w:ascii="Times New Roman" w:hAnsi="Times New Roman" w:eastAsia="宋体" w:cs="Times New Roman"/>
          <w:i/>
          <w:iCs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i/>
          <w:iCs/>
          <w:color w:val="auto"/>
          <w:sz w:val="24"/>
          <w:szCs w:val="24"/>
          <w:lang w:eastAsia="zh-CN"/>
        </w:rPr>
        <w:drawing>
          <wp:inline distT="0" distB="0" distL="114300" distR="114300">
            <wp:extent cx="6477000" cy="5182235"/>
            <wp:effectExtent l="0" t="0" r="0" b="8890"/>
            <wp:docPr id="5" name="图片 5" descr="FigS3_Schoenfeld_residuals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S3_Schoenfeld_residuals_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518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6926A">
      <w:pPr>
        <w:rPr>
          <w:rFonts w:hint="default" w:ascii="Times New Roman" w:hAnsi="Times New Roman" w:eastAsia="Arial" w:cs="Times New Roman"/>
          <w:b/>
          <w:bCs w:val="0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Figure S3.</w:t>
      </w:r>
      <w:r>
        <w:rPr>
          <w:rFonts w:hint="default" w:ascii="Times New Roman" w:hAnsi="Times New Roman" w:eastAsia="Arial" w:cs="Times New Roman"/>
          <w:b/>
          <w:bCs w:val="0"/>
          <w:i/>
          <w:iCs/>
          <w:color w:val="auto"/>
          <w:sz w:val="24"/>
          <w:szCs w:val="24"/>
        </w:rPr>
        <w:t xml:space="preserve"> Schoenfeld residual plots for the 90-day multivariable Cox model (MIMIC</w:t>
      </w:r>
      <w:r>
        <w:rPr>
          <w:rFonts w:hint="eastAsia" w:ascii="Times New Roman" w:hAnsi="Times New Roman" w:eastAsia="宋体" w:cs="Times New Roman"/>
          <w:b/>
          <w:bCs w:val="0"/>
          <w:i/>
          <w:iCs/>
          <w:color w:val="auto"/>
          <w:sz w:val="24"/>
          <w:szCs w:val="24"/>
          <w:lang w:val="en-US" w:eastAsia="zh-CN"/>
        </w:rPr>
        <w:t>-IV</w:t>
      </w:r>
      <w:r>
        <w:rPr>
          <w:rFonts w:hint="default" w:ascii="Times New Roman" w:hAnsi="Times New Roman" w:eastAsia="Arial" w:cs="Times New Roman"/>
          <w:b/>
          <w:bCs w:val="0"/>
          <w:i/>
          <w:iCs/>
          <w:color w:val="auto"/>
          <w:sz w:val="24"/>
          <w:szCs w:val="24"/>
        </w:rPr>
        <w:t>, n = 870).</w:t>
      </w:r>
    </w:p>
    <w:p w14:paraId="1C8293F9">
      <w:pPr>
        <w:rPr>
          <w:rFonts w:hint="eastAsia" w:ascii="Times New Roman" w:hAnsi="Times New Roman" w:eastAsia="宋体" w:cs="Times New Roman"/>
          <w:b/>
          <w:bCs w:val="0"/>
          <w:i/>
          <w:iCs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 w:val="0"/>
          <w:i/>
          <w:iCs/>
          <w:color w:val="auto"/>
          <w:sz w:val="24"/>
          <w:szCs w:val="24"/>
          <w:lang w:eastAsia="zh-CN"/>
        </w:rPr>
        <w:drawing>
          <wp:inline distT="0" distB="0" distL="114300" distR="114300">
            <wp:extent cx="6743700" cy="5298440"/>
            <wp:effectExtent l="0" t="0" r="0" b="6985"/>
            <wp:docPr id="6" name="图片 6" descr="FigS4_subgroup_forest_T2vsT1_90d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S4_subgroup_forest_T2vsT1_90d_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29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714FA">
      <w:pP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Figure S4.</w:t>
      </w:r>
      <w:r>
        <w:rPr>
          <w:rFonts w:hint="default" w:ascii="Times New Roman" w:hAnsi="Times New Roman" w:eastAsia="Arial" w:cs="Times New Roman"/>
          <w:b/>
          <w:bCs w:val="0"/>
          <w:i/>
          <w:iCs/>
          <w:color w:val="auto"/>
          <w:sz w:val="24"/>
          <w:szCs w:val="24"/>
        </w:rPr>
        <w:t xml:space="preserve"> Forest plot of 90-day mortality hazard ratios for T2 versus T1 across pre-specified clinical subgroups (MIMIC</w:t>
      </w:r>
      <w:r>
        <w:rPr>
          <w:rFonts w:hint="eastAsia" w:ascii="Times New Roman" w:hAnsi="Times New Roman" w:eastAsia="宋体" w:cs="Times New Roman"/>
          <w:b/>
          <w:bCs w:val="0"/>
          <w:i/>
          <w:iCs/>
          <w:color w:val="auto"/>
          <w:sz w:val="24"/>
          <w:szCs w:val="24"/>
          <w:lang w:val="en-US" w:eastAsia="zh-CN"/>
        </w:rPr>
        <w:t>-IV</w:t>
      </w:r>
      <w:r>
        <w:rPr>
          <w:rFonts w:hint="default" w:ascii="Times New Roman" w:hAnsi="Times New Roman" w:eastAsia="Arial" w:cs="Times New Roman"/>
          <w:b/>
          <w:bCs w:val="0"/>
          <w:i/>
          <w:iCs/>
          <w:color w:val="auto"/>
          <w:sz w:val="24"/>
          <w:szCs w:val="24"/>
        </w:rPr>
        <w:t>).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 xml:space="preserve"> </w:t>
      </w:r>
    </w:p>
    <w:p w14:paraId="6698AA19">
      <w:pPr>
        <w:rPr>
          <w:rFonts w:hint="eastAsia" w:ascii="Times New Roman" w:hAnsi="Times New Roman" w:eastAsia="宋体" w:cs="Times New Roman"/>
          <w:i/>
          <w:iCs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i/>
          <w:iCs/>
          <w:color w:val="auto"/>
          <w:sz w:val="24"/>
          <w:szCs w:val="24"/>
          <w:lang w:eastAsia="zh-CN"/>
        </w:rPr>
        <w:drawing>
          <wp:inline distT="0" distB="0" distL="114300" distR="114300">
            <wp:extent cx="5398135" cy="3959225"/>
            <wp:effectExtent l="0" t="0" r="2540" b="3175"/>
            <wp:docPr id="7" name="图片 7" descr="FigS5_tdAUC_compari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S5_tdAUC_comparison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813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ED668">
      <w:pPr>
        <w:rPr>
          <w:rFonts w:hint="eastAsia" w:ascii="Times New Roman" w:hAnsi="Times New Roman" w:eastAsia="宋体" w:cs="Times New Roman"/>
          <w:i/>
          <w:iCs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Figure S5.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Time-dependent AUC for mortality prediction: SOFA alone versus lactate trajectory-augmented model (MIMIC</w:t>
      </w:r>
      <w:r>
        <w:rPr>
          <w:rFonts w:hint="eastAsia" w:ascii="Times New Roman" w:hAnsi="Times New Roman" w:eastAsia="宋体" w:cs="Times New Roman"/>
          <w:b/>
          <w:bCs w:val="0"/>
          <w:i/>
          <w:iCs/>
          <w:color w:val="auto"/>
          <w:sz w:val="24"/>
          <w:szCs w:val="24"/>
          <w:lang w:val="en-US" w:eastAsia="zh-CN"/>
        </w:rPr>
        <w:t>-IV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 xml:space="preserve">, n = 870). </w:t>
      </w:r>
    </w:p>
    <w:p w14:paraId="0E95EED1">
      <w:pP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</w:p>
    <w:p w14:paraId="7BB6086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887"/>
    <w:rsid w:val="00953887"/>
    <w:rsid w:val="04736AAD"/>
    <w:rsid w:val="40B6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539</Words>
  <Characters>3135</Characters>
  <Lines>0</Lines>
  <Paragraphs>0</Paragraphs>
  <TotalTime>0</TotalTime>
  <ScaleCrop>false</ScaleCrop>
  <LinksUpToDate>false</LinksUpToDate>
  <CharactersWithSpaces>3653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2026-05-02T13:37:00Z</dcterms:created>
  <dc:creator>王小肥</dc:creator>
  <cp:lastModifiedBy>王小肥</cp:lastModifiedBy>
  <dcterms:modified xsi:type="dcterms:W3CDTF">2026-05-10T14:07:21Z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6EEF42E36182490F8EC705CDBE0D2230_13</vt:lpwstr>
  </property>
  <property fmtid="{D5CDD505-2E9C-101B-9397-08002B2CF9AE}" pid="4" name="KSOTemplateDocerSaveRecord">
    <vt:lpwstr>eyJoZGlkIjoiMzEwNTM5NzYwMDRjMzkwZTVkZjY2ODkwMGIxNGU0OTUiLCJ1c2VySWQiOiIyNDUxNzY0ODEifQ==</vt:lpwstr>
  </property>
</Properties>
</file>