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FC789">
      <w:pPr>
        <w:spacing w:before="120" w:after="80"/>
        <w:jc w:val="center"/>
        <w:rPr>
          <w:rFonts w:hint="default" w:ascii="Times New Roman" w:hAnsi="Times New Roman" w:cs="Times New Roman"/>
          <w:i/>
          <w:iCs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/>
          <w:i/>
          <w:iCs/>
          <w:color w:val="auto"/>
          <w:sz w:val="36"/>
          <w:szCs w:val="36"/>
        </w:rPr>
        <w:t>Figure Legends and Table Notes</w:t>
      </w:r>
    </w:p>
    <w:p w14:paraId="2586A6C4">
      <w:pPr>
        <w:spacing w:after="400"/>
        <w:jc w:val="center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Dynamic lactate trajectories within 48 hours of ICU admission predict mortality in severe pneumonia: a retrospective cohort study with external validation</w:t>
      </w: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Journal: Journal of Intensive Care</w:t>
      </w:r>
    </w:p>
    <w:p w14:paraId="60AD1382">
      <w:pPr>
        <w:spacing w:after="400"/>
        <w:jc w:val="center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</w:p>
    <w:p w14:paraId="39B8786F">
      <w:pP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br w:type="page"/>
      </w:r>
    </w:p>
    <w:p w14:paraId="1D8CBD21">
      <w:pPr>
        <w:spacing w:before="240" w:after="80"/>
        <w:rPr>
          <w:rFonts w:hint="default"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8"/>
          <w:szCs w:val="28"/>
        </w:rPr>
        <w:t>Supplementary Tables</w:t>
      </w:r>
    </w:p>
    <w:p w14:paraId="3B4067CA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S1</w:t>
      </w:r>
    </w:p>
    <w:p w14:paraId="30DA9131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S1.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 xml:space="preserve">Latent growth mixture model selection criteria for k = 1–5 trajectory classes. 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Model fit indices for each solution fitted to the 48-hour blood lactate data (MIMIC, n = 870). The four-class solution was selected on the basis of the lowest BIC, acceptable entropy (≥ 0.60), minimum APPA (≥ 0.70), and clinical interpretability.</w:t>
      </w:r>
    </w:p>
    <w:p w14:paraId="4C00D25A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APPA, average posterior probability of assignment; BIC, Bayesian information criterion; k, number of trajectory classes; LGMM, latent growth mixture model.</w:t>
      </w:r>
    </w:p>
    <w:p w14:paraId="5692A075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S2</w:t>
      </w:r>
    </w:p>
    <w:p w14:paraId="52229992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S2</w:t>
      </w:r>
      <w:r>
        <w:rPr>
          <w:rFonts w:hint="eastAsia" w:ascii="Times New Roman" w:hAnsi="Times New Roman" w:eastAsia="宋体" w:cs="Times New Roman"/>
          <w:b/>
          <w:i/>
          <w:iCs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 xml:space="preserve"> Trajectory phenotype distribution in the external validation cohort (SGH, n = 289).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The LGMM parameters estimated in the derivation cohort were applied to the validation cohort by clinical trajectory matching.</w:t>
      </w:r>
    </w:p>
    <w:p w14:paraId="146A538D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LGMM, latent growth mixture model; SGH, Shanghai General Hospital; T1–T4, trajectory phenotypes 1–4.</w:t>
      </w:r>
    </w:p>
    <w:p w14:paraId="4E141613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S2b</w:t>
      </w:r>
    </w:p>
    <w:p w14:paraId="739FA62C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S2b.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Average posterior probability of assignment for the external validation cohort (SGH, n = 289).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APPA was computed using Gaussian likelihood-based posterior probabilities derived from the derivation cohort trajectory means and standard deviations. Overall APPA was 0.902, and 90.3% of patients had APPA ≥ 0.70.</w:t>
      </w:r>
    </w:p>
    <w:p w14:paraId="4EB6ECEE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APPA, average posterior probability of assignment; LGMM, latent growth mixture model; SGH, Shanghai General Hospital; T1–T4, trajectory phenotypes 1–4.</w:t>
      </w:r>
    </w:p>
    <w:p w14:paraId="5AAC458B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S3</w:t>
      </w:r>
    </w:p>
    <w:p w14:paraId="1DF4D298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S3.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Univariable Cox proportional hazards regression for 28-day, 60-day, and 90-day mortality (MIMIC</w:t>
      </w: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val="en-US" w:eastAsia="zh-CN"/>
        </w:rPr>
        <w:t>-IV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, n = 870) and multivariable Cox regression for 90-day mortality in the validation cohort (SGH, n = 289).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Univariable: each covariate tested individually without adjustment. These results informed variable selection for the multivariable models (Table 2). Validation cohort multivariable model adjusted for age and SOFA.</w:t>
      </w:r>
    </w:p>
    <w:p w14:paraId="543FD6AD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APS III, Acute Physiology Score III; CI, confidence interval; COPD, chronic obstructive pulmonary disease; HR, hazard ratio; SGH, Shanghai General Hospital; SOFA, Sequential Organ Failure Assessment.</w:t>
      </w:r>
    </w:p>
    <w:p w14:paraId="301B934D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S4</w:t>
      </w:r>
    </w:p>
    <w:p w14:paraId="2CEEAC64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S4</w:t>
      </w:r>
      <w:r>
        <w:rPr>
          <w:rFonts w:hint="eastAsia" w:ascii="Times New Roman" w:hAnsi="Times New Roman" w:eastAsia="宋体" w:cs="Times New Roman"/>
          <w:b/>
          <w:i/>
          <w:iCs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Sensitivity analysis: binary risk stratification (high-risk [T2 + T4] vs. low-risk [T1 + T3]).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Unadjusted and multivariable-adjusted hazard ratios for 28-day, 60-day, and 90-day mortality. The multivariable model was adjusted for age, sex, COPD, SOFA, and APS III.</w:t>
      </w:r>
    </w:p>
    <w:p w14:paraId="5B5853BD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APS III, Acute Physiology Score III; CI, confidence interval; COPD, chronic obstructive pulmonary disease; HR, hazard ratio; SOFA, Sequential Organ Failure Assessment; T1–T4, trajectory phenotypes 1–4.</w:t>
      </w:r>
    </w:p>
    <w:p w14:paraId="66916A93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S4b</w:t>
      </w:r>
    </w:p>
    <w:p w14:paraId="73B27F56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S4b.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 xml:space="preserve"> Missing data summary and multiple imputation by chained equations results. 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The number and proportion of missing values for each imputed variable are presented alongside observed and pooled imputed means (SD). Variables with ≥ 5% missing data were imputed using predictive mean matching (m = 5 datasets, 20 iterations). Primary analyses used complete cases; imputed results were substantively similar.</w:t>
      </w:r>
    </w:p>
    <w:p w14:paraId="21CC02B3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ALT, alanine aminotransferase; LDH, lactate dehydrogenase; MICE, multiple imputation by chained equations; PaO₂/FiO₂, oxygenation index; PMM, predictive mean matching; SD, standard deviation.</w:t>
      </w:r>
    </w:p>
    <w:p w14:paraId="2A905BA1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S5</w:t>
      </w:r>
    </w:p>
    <w:p w14:paraId="7F17F7B7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S5.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 xml:space="preserve">Sensitivity analysis: high-confidence assignment subgroup (APPA ≥ 0.80, n = 543) — 90-day mortality. 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Multivariable Cox regression using the same covariates as Table 2. Results were consistent with the primary analysis, confirming that prognostic associations were not materially altered by trajectory misclassification.</w:t>
      </w:r>
    </w:p>
    <w:p w14:paraId="55872B94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APPA, average posterior probability of assignment; APS III, Acute Physiology Score III; CI, confidence interval; HR, hazard ratio; SOFA, Sequential Organ Failure Assessment.</w:t>
      </w:r>
    </w:p>
    <w:p w14:paraId="3D9FAF99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S6</w:t>
      </w:r>
    </w:p>
    <w:p w14:paraId="32204A76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S6.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 xml:space="preserve">Sensitivity analysis: subgroup analysis stratified by SOFA score tertile — 90-day mortality. 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Multivariable Cox regression within each SOFA tertile. Consistency of direction across strata supports the generalisability of trajectory-based prognostic associations. Formal interaction testing showed no significant interaction (p &gt; 0.05 for all).</w:t>
      </w:r>
    </w:p>
    <w:p w14:paraId="1BD56E75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CI, confidence interval; HR, hazard ratio; SOFA, Sequential Organ Failure Assessment; T1–T4, trajectory phenotypes 1–4.</w:t>
      </w:r>
    </w:p>
    <w:p w14:paraId="65FB2CF5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S7</w:t>
      </w:r>
    </w:p>
    <w:p w14:paraId="6FF8A485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S7.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Missing data summary for the derivation cohort (MIMIC</w:t>
      </w: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val="en-US" w:eastAsia="zh-CN"/>
        </w:rPr>
        <w:t>-IV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, n = 870).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Variables with ≥ 5% missing were imputed using MICE (see Table S4b). Variables with &lt; 5% missing were handled by complete-case analysis.</w:t>
      </w:r>
    </w:p>
    <w:p w14:paraId="30CC6346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MAR, missing at random; MICE, multiple imputation by chained equations.</w:t>
      </w:r>
    </w:p>
    <w:p w14:paraId="2C095012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S8</w:t>
      </w:r>
    </w:p>
    <w:p w14:paraId="7C517BA2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S8.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 xml:space="preserve">Secondary clinical outcomes in the external validation cohort (SGH, n = 289). 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ICU length of stay and hospital length of stay reported as median [interquartile range]. Between-group comparisons used the Kruskal–Wallis test.</w:t>
      </w:r>
    </w:p>
    <w:p w14:paraId="5D00DF6D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ICU, intensive care unit; IQR, interquartile range; LOS, length of stay; SGH, Shanghai General Hospital; T1–T4, trajectory phenotypes 1–4.</w:t>
      </w:r>
    </w:p>
    <w:p w14:paraId="05882FE5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S9</w:t>
      </w:r>
    </w:p>
    <w:p w14:paraId="54A208C1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S9.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 xml:space="preserve">Model discrimination: Harrell’s C-index for multivariable Cox models. 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C-index with 95% confidence interval for 28-day, 60-day, and 90-day mortality (MIMIC) and 90-day mortality (SGH). The incremental value of adding lactate trajectory to a SOFA-only model was assessed by ΔC-index, categorical NRI, and IDI.</w:t>
      </w:r>
    </w:p>
    <w:p w14:paraId="6736C687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C-index, concordance index; CI, confidence interval; IDI, integrated discrimination improvement; NRI, net reclassification improvement; SGH, Shanghai General Hospital; SOFA, Sequential Organ Failure Assessment.</w:t>
      </w:r>
    </w:p>
    <w:p w14:paraId="3B6B10E5">
      <w:pPr>
        <w:spacing w:before="160" w:after="8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S10</w:t>
      </w:r>
    </w:p>
    <w:p w14:paraId="1573F198">
      <w:pPr>
        <w:spacing w:before="40" w:after="8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S10.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Baseline characteristics of the external validation cohort stratified by lactate trajectory phenotype (SGH, n = 289).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Presented in the same format as Table 1. Continuous variables as mean (SD) or median [IQR]; categorical variables as n (%). Between-group comparisons used the Kruskal–Wallis test or Fisher exact test.</w:t>
      </w:r>
    </w:p>
    <w:p w14:paraId="1C0803E0">
      <w:pPr>
        <w:spacing w:before="20"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>COPD, chronic obstructive pulmonary disease; Cr, creatinine; CURB-65, pneumonia severity score; HF, heart failure; ICU, intensive care unit; IQR, interquartile range; LDH, lactate dehydrogenase; LOS, length of stay; MV, mechanical ventilation; SGH, Shanghai General Hospital; SOFA, Sequential Organ Failure Assessment; T1–T4, trajectory phenotypes 1–4; WBC, white blood cell count.</w:t>
      </w:r>
    </w:p>
    <w:p w14:paraId="32953409">
      <w:pPr>
        <w:spacing w:before="200" w:after="4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</w:p>
    <w:p w14:paraId="5155CC69">
      <w:pPr>
        <w:spacing w:before="200" w:after="4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</w:p>
    <w:p w14:paraId="46617F0F">
      <w:pPr>
        <w:spacing w:before="200" w:after="40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</w:p>
    <w:p w14:paraId="5A3EE96F">
      <w:pPr>
        <w:spacing w:before="200" w:after="40"/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S1.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 xml:space="preserve">Latent growth mixture model selection criteria for k = 1–5 trajectory classes. </w:t>
      </w:r>
    </w:p>
    <w:tbl>
      <w:tblPr>
        <w:tblStyle w:val="2"/>
        <w:tblW w:w="831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662"/>
        <w:gridCol w:w="1662"/>
        <w:gridCol w:w="1662"/>
        <w:gridCol w:w="1662"/>
      </w:tblGrid>
      <w:tr w14:paraId="6CE08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66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5A5A1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</w:t>
            </w:r>
          </w:p>
        </w:tc>
        <w:tc>
          <w:tcPr>
            <w:tcW w:w="166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0B96A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Log-likelihood</w:t>
            </w:r>
          </w:p>
        </w:tc>
        <w:tc>
          <w:tcPr>
            <w:tcW w:w="166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306B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BIC</w:t>
            </w:r>
          </w:p>
        </w:tc>
        <w:tc>
          <w:tcPr>
            <w:tcW w:w="166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DEFA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Entropy</w:t>
            </w:r>
          </w:p>
        </w:tc>
        <w:tc>
          <w:tcPr>
            <w:tcW w:w="166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32E49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 APPA</w:t>
            </w:r>
          </w:p>
        </w:tc>
      </w:tr>
      <w:tr w14:paraId="38E43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61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A5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-7718.7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71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19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2A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23CB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1C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6A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-7111.1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94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D0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E7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0.936</w:t>
            </w:r>
          </w:p>
        </w:tc>
      </w:tr>
      <w:tr w14:paraId="028D2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6E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93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-7008.1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F4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22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BB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</w:tr>
      <w:tr w14:paraId="59F9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3A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B0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-6964.1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8B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F8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38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0.745</w:t>
            </w:r>
          </w:p>
        </w:tc>
      </w:tr>
      <w:tr w14:paraId="191E6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28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C3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-6964.1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1A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FE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1E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0.474</w:t>
            </w:r>
          </w:p>
        </w:tc>
      </w:tr>
      <w:tr w14:paraId="78738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DA441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5584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1363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F2D0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5A0A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7125A4E">
      <w:pPr>
        <w:spacing w:before="200" w:after="40"/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S2</w:t>
      </w:r>
      <w:r>
        <w:rPr>
          <w:rFonts w:hint="eastAsia" w:ascii="Times New Roman" w:hAnsi="Times New Roman" w:eastAsia="宋体" w:cs="Times New Roman"/>
          <w:b/>
          <w:i/>
          <w:iCs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.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 xml:space="preserve"> Trajectory phenotype distribution in the external validation cohort (SGH, n = 289).</w:t>
      </w:r>
    </w:p>
    <w:tbl>
      <w:tblPr>
        <w:tblStyle w:val="2"/>
        <w:tblW w:w="562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905"/>
        <w:gridCol w:w="551"/>
        <w:gridCol w:w="1662"/>
      </w:tblGrid>
      <w:tr w14:paraId="52A8A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4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00E2E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Class</w:t>
            </w:r>
          </w:p>
        </w:tc>
        <w:tc>
          <w:tcPr>
            <w:tcW w:w="290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08BE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Trajectory</w:t>
            </w:r>
          </w:p>
        </w:tc>
        <w:tc>
          <w:tcPr>
            <w:tcW w:w="4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CF9E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</w:p>
        </w:tc>
        <w:tc>
          <w:tcPr>
            <w:tcW w:w="166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B045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Proportion (%)</w:t>
            </w:r>
          </w:p>
        </w:tc>
      </w:tr>
      <w:tr w14:paraId="4F0C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06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46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T1: Stable-normal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2E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AD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</w:t>
            </w:r>
          </w:p>
        </w:tc>
      </w:tr>
      <w:tr w14:paraId="1C3F1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9D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C6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T2: Fluctuating-worsening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32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0B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</w:tr>
      <w:tr w14:paraId="0284A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B6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21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T3: Rapid-resolving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D0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66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14.9</w:t>
            </w:r>
          </w:p>
        </w:tc>
      </w:tr>
      <w:tr w14:paraId="59F8A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ACD3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9BA1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T4: Persistent-abnormal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AD0B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02DF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</w:t>
            </w:r>
          </w:p>
        </w:tc>
      </w:tr>
    </w:tbl>
    <w:p w14:paraId="23775168">
      <w:pPr>
        <w:spacing w:before="200" w:after="40"/>
        <w:jc w:val="both"/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S2b.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Average posterior probability of assignment for the external validation cohort (SGH, n = 289).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</w:t>
      </w:r>
    </w:p>
    <w:tbl>
      <w:tblPr>
        <w:tblStyle w:val="2"/>
        <w:tblW w:w="550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42"/>
        <w:gridCol w:w="1242"/>
        <w:gridCol w:w="1779"/>
      </w:tblGrid>
      <w:tr w14:paraId="5A387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5DD60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Trajectory</w:t>
            </w:r>
          </w:p>
        </w:tc>
        <w:tc>
          <w:tcPr>
            <w:tcW w:w="12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1ED97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</w:p>
        </w:tc>
        <w:tc>
          <w:tcPr>
            <w:tcW w:w="12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4A8AF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APPA</w:t>
            </w:r>
          </w:p>
        </w:tc>
        <w:tc>
          <w:tcPr>
            <w:tcW w:w="17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27FDD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Pct_above_70</w:t>
            </w:r>
          </w:p>
        </w:tc>
      </w:tr>
      <w:tr w14:paraId="4413F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DD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03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B4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AC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</w:tr>
      <w:tr w14:paraId="16245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F9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5C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83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AD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6C855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5B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C3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F0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85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81.4</w:t>
            </w:r>
          </w:p>
        </w:tc>
      </w:tr>
      <w:tr w14:paraId="10BA3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29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05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2C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8A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</w:t>
            </w:r>
          </w:p>
        </w:tc>
      </w:tr>
      <w:tr w14:paraId="2BD4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71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11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44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70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90.3</w:t>
            </w:r>
          </w:p>
        </w:tc>
      </w:tr>
      <w:tr w14:paraId="6D9C5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D428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C24F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5367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E021D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C13A74A">
      <w:pPr>
        <w:spacing w:before="200" w:after="40"/>
        <w:jc w:val="both"/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S3.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Univariable Cox proportional hazards regression for 28-day, 60-day, and 90-day mortality (MIMIC</w:t>
      </w:r>
      <w:r>
        <w:rPr>
          <w:rFonts w:hint="eastAsia" w:ascii="Times New Roman" w:hAnsi="Times New Roman" w:eastAsia="宋体" w:cs="Times New Roman"/>
          <w:b/>
          <w:bCs w:val="0"/>
          <w:i/>
          <w:iCs/>
          <w:color w:val="auto"/>
          <w:sz w:val="24"/>
          <w:szCs w:val="24"/>
          <w:lang w:val="en-US" w:eastAsia="zh-CN"/>
        </w:rPr>
        <w:t>-IV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, n = 870) and multivariable Cox regression for 90-day mortality in the validation cohort (SGH, n = 289).</w:t>
      </w:r>
    </w:p>
    <w:tbl>
      <w:tblPr>
        <w:tblStyle w:val="2"/>
        <w:tblW w:w="10134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887"/>
        <w:gridCol w:w="2113"/>
        <w:gridCol w:w="984"/>
        <w:gridCol w:w="248"/>
        <w:gridCol w:w="2255"/>
        <w:gridCol w:w="1418"/>
      </w:tblGrid>
      <w:tr w14:paraId="2C72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229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17E11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Timepoint</w:t>
            </w:r>
          </w:p>
        </w:tc>
        <w:tc>
          <w:tcPr>
            <w:tcW w:w="1887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D8E8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211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6E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Univariate analysis</w:t>
            </w:r>
          </w:p>
        </w:tc>
        <w:tc>
          <w:tcPr>
            <w:tcW w:w="98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37EE6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E4FB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4873E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Multivariate analysis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3B12D91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8E1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229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F6242C8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2364AECB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2B9F6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98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F46E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2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2B911535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15055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37C97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 w14:paraId="0E961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B9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F5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 VS TI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DA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 (2.58–5.18)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EC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6C32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151F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4881B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E89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8C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47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 VS TI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57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(0.89–1.52)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BF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FB49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89BF3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D8EF3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56A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11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FA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 VS TI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1F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(1.07–1.93)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6F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A4F7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0ECDB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7EE0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087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7C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73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69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(1.01–1.03)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29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9DEB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70A1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F3CC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42A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F5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2D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DA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 (0.65–1.01)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C0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024F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E0C41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FCFF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80D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24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FA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9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(0.92–1.44)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5F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51EF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824D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CC4B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408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48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19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37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(1.02–1.58)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74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B29E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5E80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053E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BDF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D4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4C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25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 (1.04–1.61)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A7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FE25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FC973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7F56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9E8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C2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0B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0C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(1.01–1.68)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55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4625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26F6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5F131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D61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9E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2C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Cerebrovascular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C1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(0.93–1.72)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27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0.133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4F29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98CC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0ED5B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A33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AF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E2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A4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(1.06–1.12)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32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2FE1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4B5A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D4E4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798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B2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B8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APSIII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95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(1.01–1.02)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45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E259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4243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4DAF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861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03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05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 VS TI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A3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 (2.46–4.75)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0F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7BB00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F9A6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2B44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920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CB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8F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 VS TI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69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(0.89–1.46)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2F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0.295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14C4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FE37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23A1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7DD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87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2C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 VS TI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E7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(1.07–1.84)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CA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06BF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03A80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A9F7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B01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F0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0B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AA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(1.02–1.03)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A7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37F9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8740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1503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AA9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72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3D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E5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 (0.65–0.98)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35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E489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DCF8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E602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8CA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D2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16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03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(0.96–1.46)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60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CEC2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76FA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9DEA0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123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62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C6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87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(1.04–1.56)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70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D117B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F9CB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A378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8E1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DD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E7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CF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(1.08–1.62)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CE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1F421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EF98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7D5D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98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E1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BC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28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(1.01–1.62)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84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290B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59AE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698F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F5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65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AF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Cerebrovascular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6D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(0.99–1.73)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26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2783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7693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DFB1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53C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4C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B3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7D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(1.05–1.11)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0B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6126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78B0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7F43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88D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4E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02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APSIII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D0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(1.01–1.02)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3F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FB793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F9A5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6B11B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9AB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91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F2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 VS TI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94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3.33 (2.41–4.60)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78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CD56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FD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3.02 (1.19–7.67)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B0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</w:tr>
      <w:tr w14:paraId="3AE5A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B0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7B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 VS TI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1B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(0.91–1.48)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F6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608E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E5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(0.75–2.53)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ED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0.306</w:t>
            </w:r>
          </w:p>
        </w:tc>
      </w:tr>
      <w:tr w14:paraId="2C4E5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40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4E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 VS TI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CB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(1.09–1.86)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AC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32A13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32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 (0.89–4.40)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D0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</w:t>
            </w:r>
          </w:p>
        </w:tc>
      </w:tr>
      <w:tr w14:paraId="7AF77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3B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6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34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(1.01–1.03)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1A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B227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9D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(1.02–1.06)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05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AD9D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02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28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DE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(0.69–1.01)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B6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0.068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0AD3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F625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FD6D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A90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24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32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83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(0.93–1.39)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FE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148F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41A0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A7F1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92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6A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12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69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(0.99–1.47)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F5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49C13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9F86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500F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80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BE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89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0E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 (1.06–1.57)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94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F4B5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216F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D916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3D8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1B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05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5F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(1.07–1.69)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01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7468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D89D1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29B51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D30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AF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CA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Cerebrovascular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7F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(1.08–1.84)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BE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7083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CC2D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5B98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535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67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F3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9C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(1.06–1.11)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1A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FB9D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DA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(0.91–1.01)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E6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0.115</w:t>
            </w:r>
          </w:p>
        </w:tc>
      </w:tr>
      <w:tr w14:paraId="2DCDD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0B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36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APSIII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BF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(1.01–1.02)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DC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EFC03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7318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4993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8DB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A4ACB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E3FF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08E3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2CAF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7AD01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293F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4919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4C899B9">
      <w:pPr>
        <w:spacing w:before="200" w:after="40"/>
        <w:jc w:val="both"/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S4</w:t>
      </w:r>
      <w:r>
        <w:rPr>
          <w:rFonts w:hint="eastAsia" w:ascii="Times New Roman" w:hAnsi="Times New Roman" w:eastAsia="宋体" w:cs="Times New Roman"/>
          <w:b/>
          <w:i/>
          <w:iCs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Sensitivity analysis: binary risk stratification (high-risk [T2 + T4] vs. low-risk [T1 + T3]).</w:t>
      </w:r>
      <w:r>
        <w:rPr>
          <w:rFonts w:hint="default" w:ascii="Times New Roman" w:hAnsi="Times New Roman" w:eastAsia="Arial" w:cs="Times New Roman"/>
          <w:i/>
          <w:iCs/>
          <w:color w:val="auto"/>
          <w:sz w:val="24"/>
          <w:szCs w:val="24"/>
        </w:rPr>
        <w:t xml:space="preserve"> </w:t>
      </w:r>
    </w:p>
    <w:tbl>
      <w:tblPr>
        <w:tblStyle w:val="2"/>
        <w:tblW w:w="1003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5681"/>
        <w:gridCol w:w="2096"/>
        <w:gridCol w:w="1086"/>
      </w:tblGrid>
      <w:tr w14:paraId="2220C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9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3F239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Timepoint</w:t>
            </w:r>
          </w:p>
        </w:tc>
        <w:tc>
          <w:tcPr>
            <w:tcW w:w="57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0045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Comparison</w:t>
            </w:r>
          </w:p>
        </w:tc>
        <w:tc>
          <w:tcPr>
            <w:tcW w:w="211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2FE5C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09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83E1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 w14:paraId="1C73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7E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11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risk (T2+T4) vs Low risk (T1+T3)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E5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 (1.39–2.18)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7E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8060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5B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C5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risk (T2+T4) vs Low risk (T1+T3)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D0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 (1.36–2.08)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77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032B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EE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61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risk (T2+T4) vs Low risk (T1+T3)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7B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(1.36–2.05)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24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EAFF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EB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C5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risk (T2+T4) vs Low risk (T1+T3) —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C5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(1.12–1.81)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54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</w:tr>
      <w:tr w14:paraId="7EBC3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40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BA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risk (T2+T4) vs Low risk (T1+T3) — adjusted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B4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(1.13–1.78)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41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3A298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FEE6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90-day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3BA0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risk (T2+T4) vs Low risk (T1+T3) — adjusted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A306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(1.13–1.75)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01CC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</w:tbl>
    <w:p w14:paraId="6DE6BCBD">
      <w:pPr>
        <w:spacing w:before="200" w:after="40"/>
        <w:jc w:val="both"/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>Table S4b.</w:t>
      </w:r>
      <w:r>
        <w:rPr>
          <w:rFonts w:hint="default" w:ascii="Times New Roman" w:hAnsi="Times New Roman" w:eastAsia="Arial" w:cs="Times New Roman"/>
          <w:b/>
          <w:bCs w:val="0"/>
          <w:i/>
          <w:iCs/>
          <w:color w:val="auto"/>
          <w:sz w:val="24"/>
          <w:szCs w:val="24"/>
        </w:rPr>
        <w:t xml:space="preserve"> Missing data summary and multiple imputation by chained equations results. </w:t>
      </w:r>
    </w:p>
    <w:tbl>
      <w:tblPr>
        <w:tblStyle w:val="2"/>
        <w:tblW w:w="1305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983"/>
        <w:gridCol w:w="1210"/>
        <w:gridCol w:w="1435"/>
        <w:gridCol w:w="2564"/>
        <w:gridCol w:w="2790"/>
        <w:gridCol w:w="2112"/>
      </w:tblGrid>
      <w:tr w14:paraId="0F9C8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95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0A0D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98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5EA8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 total</w:t>
            </w:r>
          </w:p>
        </w:tc>
        <w:tc>
          <w:tcPr>
            <w:tcW w:w="12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2AB9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 missing</w:t>
            </w:r>
          </w:p>
        </w:tc>
        <w:tc>
          <w:tcPr>
            <w:tcW w:w="14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7BC2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 (%)</w:t>
            </w:r>
          </w:p>
        </w:tc>
        <w:tc>
          <w:tcPr>
            <w:tcW w:w="25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039CB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Observed mean (SD)</w:t>
            </w:r>
          </w:p>
        </w:tc>
        <w:tc>
          <w:tcPr>
            <w:tcW w:w="279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1CE05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Pooled imputed mean (SD)</w:t>
            </w:r>
          </w:p>
        </w:tc>
        <w:tc>
          <w:tcPr>
            <w:tcW w:w="211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ED04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Imputation method</w:t>
            </w:r>
          </w:p>
        </w:tc>
      </w:tr>
      <w:tr w14:paraId="070A6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51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FB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E9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66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A5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7.30 (0.12)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2F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7.30 (0.11)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1B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PMM</w:t>
            </w:r>
          </w:p>
        </w:tc>
      </w:tr>
      <w:tr w14:paraId="50125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F4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PaO₂/FiO₂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08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E4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88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FE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184.58 (134.87)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71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184.08 (133.57)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73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PMM</w:t>
            </w:r>
          </w:p>
        </w:tc>
      </w:tr>
      <w:tr w14:paraId="70E38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DD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6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1E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14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7A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213.15 (508.01)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C6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208.81 (516.05)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C3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PMM</w:t>
            </w:r>
          </w:p>
        </w:tc>
      </w:tr>
      <w:tr w14:paraId="047C7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D1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LDH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A9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71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99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8B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711.81 (1324.30)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03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686.92 (1169.67)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89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PMM</w:t>
            </w:r>
          </w:p>
        </w:tc>
      </w:tr>
      <w:tr w14:paraId="6FAB5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E9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 (μmol/L)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C2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26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E6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5C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 (1.45)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64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 (1.44)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8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PMM</w:t>
            </w:r>
          </w:p>
        </w:tc>
      </w:tr>
      <w:tr w14:paraId="60BDC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E2B64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CEEDB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0D65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FE25B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A1F2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BD65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4FCF0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06FD23B">
      <w:pPr>
        <w:spacing w:before="200" w:after="40"/>
        <w:jc w:val="both"/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S5.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Sensitivity analysis: high-confidence assignment subgroup (APPA ≥ 0.80, n = 543) — 90-day mortality.</w:t>
      </w:r>
    </w:p>
    <w:tbl>
      <w:tblPr>
        <w:tblStyle w:val="2"/>
        <w:tblW w:w="660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238"/>
        <w:gridCol w:w="1959"/>
        <w:gridCol w:w="1243"/>
      </w:tblGrid>
      <w:tr w14:paraId="58E88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35912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Subgroup</w:t>
            </w:r>
          </w:p>
        </w:tc>
        <w:tc>
          <w:tcPr>
            <w:tcW w:w="123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07C32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195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1DB78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24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78C4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 w14:paraId="53898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C4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APPA&gt;=0.80 (n=543)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C0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 vs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19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3.05 (2.01-4.63)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C4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CDCF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76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APPA&gt;=0.80 (n=543)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B9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 vs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D1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(0.90-1.78)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AB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0.173</w:t>
            </w:r>
          </w:p>
        </w:tc>
      </w:tr>
      <w:tr w14:paraId="3FE7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34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APPA&gt;=0.80 (n=543)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AE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 vs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09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(0.91-1.85)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FD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0.149</w:t>
            </w:r>
          </w:p>
        </w:tc>
      </w:tr>
      <w:tr w14:paraId="536B3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C0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APPA&gt;=0.80 (n=543)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49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C7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(1.01-1.03)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39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264D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C1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APPA&gt;=0.80 (n=543)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B6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C3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 (0.73-1.20)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1F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0.584</w:t>
            </w:r>
          </w:p>
        </w:tc>
      </w:tr>
      <w:tr w14:paraId="6B010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06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APPA&gt;=0.80 (n=543)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28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4B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(1.07-1.91)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33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</w:tr>
      <w:tr w14:paraId="2E26C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C6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APPA&gt;=0.80 (n=543)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6D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F5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(1.00-1.09)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44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</w:tr>
      <w:tr w14:paraId="63959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2E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APPA&gt;=0.80 (n=543)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CF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APS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1A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(1.00-1.01)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54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0.130</w:t>
            </w:r>
          </w:p>
        </w:tc>
      </w:tr>
      <w:tr w14:paraId="5FFD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5DC5D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115E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877CC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032FC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FC612F6">
      <w:pPr>
        <w:spacing w:before="200" w:after="40"/>
        <w:jc w:val="both"/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S6.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Sensitivity analysis: subgroup analysis stratified by SOFA score tertile — 90-day mortality.</w:t>
      </w:r>
    </w:p>
    <w:tbl>
      <w:tblPr>
        <w:tblStyle w:val="2"/>
        <w:tblW w:w="6563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1470"/>
        <w:gridCol w:w="2112"/>
        <w:gridCol w:w="1096"/>
      </w:tblGrid>
      <w:tr w14:paraId="638DA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88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2C39F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Subgroup</w:t>
            </w:r>
          </w:p>
        </w:tc>
        <w:tc>
          <w:tcPr>
            <w:tcW w:w="147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1F100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Comparison</w:t>
            </w:r>
          </w:p>
        </w:tc>
        <w:tc>
          <w:tcPr>
            <w:tcW w:w="211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1EE2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09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41C4B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 w14:paraId="59115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0D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≥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CA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 vs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6D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2.99 (1.94–4.61)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99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B9D2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1F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≥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B4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 vs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0B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(0.97–1.96)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8B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</w:t>
            </w:r>
          </w:p>
        </w:tc>
      </w:tr>
      <w:tr w14:paraId="4747C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73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≥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B0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 vs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A0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(0.93–1.99)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F2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0.117</w:t>
            </w:r>
          </w:p>
        </w:tc>
      </w:tr>
      <w:tr w14:paraId="232D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01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&lt;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3F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 vs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A8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3.55 (1.81–6.98)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98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F8E9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50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&lt;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5D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 vs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B8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 (0.64–1.33)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6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0.673</w:t>
            </w:r>
          </w:p>
        </w:tc>
      </w:tr>
      <w:tr w14:paraId="3C5A2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CD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&lt;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20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 vs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0C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(0.84–2.07)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4D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0.225</w:t>
            </w:r>
          </w:p>
        </w:tc>
      </w:tr>
      <w:tr w14:paraId="3D3CE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5392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2CA39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43FF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1085F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17EDFE9">
      <w:pPr>
        <w:spacing w:before="200" w:after="40"/>
        <w:jc w:val="both"/>
        <w:rPr>
          <w:rFonts w:hint="eastAsia" w:ascii="Times New Roman" w:hAnsi="Times New Roman" w:eastAsia="Arial" w:cs="Times New Roman"/>
          <w:b/>
          <w:bCs/>
          <w:i/>
          <w:i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Arial" w:cs="Times New Roman"/>
          <w:b/>
          <w:bCs/>
          <w:i/>
          <w:iCs/>
          <w:color w:val="auto"/>
          <w:sz w:val="24"/>
          <w:szCs w:val="24"/>
          <w:lang w:val="en-US" w:eastAsia="zh-CN"/>
        </w:rPr>
        <w:t xml:space="preserve">Table S7. Missing data summary for the derivation cohort (MIMIC-IV, n = 870). </w:t>
      </w:r>
    </w:p>
    <w:tbl>
      <w:tblPr>
        <w:tblStyle w:val="2"/>
        <w:tblW w:w="607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871"/>
        <w:gridCol w:w="1320"/>
        <w:gridCol w:w="1321"/>
      </w:tblGrid>
      <w:tr w14:paraId="7393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C287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87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49F5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N_total</w:t>
            </w:r>
          </w:p>
        </w:tc>
        <w:tc>
          <w:tcPr>
            <w:tcW w:w="132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28F69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N_missing</w:t>
            </w:r>
          </w:p>
        </w:tc>
        <w:tc>
          <w:tcPr>
            <w:tcW w:w="13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0AE21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 (%)</w:t>
            </w:r>
          </w:p>
        </w:tc>
      </w:tr>
      <w:tr w14:paraId="66F1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46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76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F7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76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57.5</w:t>
            </w:r>
          </w:p>
        </w:tc>
      </w:tr>
      <w:tr w14:paraId="6204E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2E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Oxygenation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DC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4F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1B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45.1</w:t>
            </w:r>
          </w:p>
        </w:tc>
      </w:tr>
      <w:tr w14:paraId="7A473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9B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5D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17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E3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</w:t>
            </w:r>
          </w:p>
        </w:tc>
      </w:tr>
      <w:tr w14:paraId="62C5C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4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95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06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77819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80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AE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79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59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</w:tr>
      <w:tr w14:paraId="48861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67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0B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48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86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 w14:paraId="592C7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9A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76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ED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06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</w:tr>
      <w:tr w14:paraId="4487E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B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50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0B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0E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BF8B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B8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FA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90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9B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A944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9E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41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A1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BB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6CC9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9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70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D8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D0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45F31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24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9C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CD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38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0D03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C8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86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81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94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071A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39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Cerebrovascular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47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D2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3E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33460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08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75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21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72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12E9B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4F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APSIII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5A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73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58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4E0F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FC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los_icu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CD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AC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00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360EE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95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los_hospital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78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64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F6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C2F9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FF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Dead_28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DE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03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2A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7856B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6C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Dead_60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F1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C4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C3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30C4F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55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Dead_90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7D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FE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93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3AB34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0BB76"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41520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E660F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317F8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7B13ACD">
      <w:pPr>
        <w:spacing w:before="200" w:after="40"/>
        <w:jc w:val="both"/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i/>
          <w:iCs/>
          <w:color w:val="auto"/>
          <w:sz w:val="24"/>
          <w:szCs w:val="24"/>
        </w:rPr>
        <w:t xml:space="preserve">Table S8.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auto"/>
          <w:sz w:val="24"/>
          <w:szCs w:val="24"/>
        </w:rPr>
        <w:t>Secondary clinical outcomes in the external validation cohort (SGH, n = 289).</w:t>
      </w:r>
    </w:p>
    <w:tbl>
      <w:tblPr>
        <w:tblStyle w:val="2"/>
        <w:tblW w:w="873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546"/>
        <w:gridCol w:w="2710"/>
        <w:gridCol w:w="742"/>
        <w:gridCol w:w="3105"/>
        <w:gridCol w:w="992"/>
      </w:tblGrid>
      <w:tr w14:paraId="5ECC6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103C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class</w:t>
            </w:r>
          </w:p>
        </w:tc>
        <w:tc>
          <w:tcPr>
            <w:tcW w:w="4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36AF6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</w:p>
        </w:tc>
        <w:tc>
          <w:tcPr>
            <w:tcW w:w="27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049D9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ICU LOS median [IQR] (days)</w:t>
            </w:r>
          </w:p>
        </w:tc>
        <w:tc>
          <w:tcPr>
            <w:tcW w:w="74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43042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P_icu</w:t>
            </w:r>
          </w:p>
        </w:tc>
        <w:tc>
          <w:tcPr>
            <w:tcW w:w="31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4A38E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Hospital LOS median [IQR] (days)</w:t>
            </w:r>
          </w:p>
        </w:tc>
        <w:tc>
          <w:tcPr>
            <w:tcW w:w="99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BEC3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P_hosp</w:t>
            </w:r>
          </w:p>
        </w:tc>
      </w:tr>
      <w:tr w14:paraId="6739E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D6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13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DC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17.0 [12.0–29.0]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A2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A2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22.0 [14.0–38.5]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83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</w:t>
            </w:r>
          </w:p>
        </w:tc>
      </w:tr>
      <w:tr w14:paraId="62DF8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D7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78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E1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 [12.0–24.2]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3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68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 [22.8–48.8]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EE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</w:t>
            </w:r>
          </w:p>
        </w:tc>
      </w:tr>
      <w:tr w14:paraId="52913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61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6C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81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 [11.9–34.5]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D1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18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34.0 [16.5–55.0]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12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</w:t>
            </w:r>
          </w:p>
        </w:tc>
      </w:tr>
      <w:tr w14:paraId="6C625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6DE6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038C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3884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 [9.2–18.5]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7B64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92DA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22.0 [15.0–44.0]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330F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</w:t>
            </w:r>
          </w:p>
        </w:tc>
      </w:tr>
    </w:tbl>
    <w:p w14:paraId="5037651F">
      <w:pPr>
        <w:spacing w:before="200" w:after="40"/>
        <w:jc w:val="both"/>
        <w:rPr>
          <w:rFonts w:hint="eastAsia" w:ascii="Times New Roman" w:hAnsi="Times New Roman" w:eastAsia="Arial" w:cs="Times New Roman"/>
          <w:b/>
          <w:bCs/>
          <w:i/>
          <w:i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Arial" w:cs="Times New Roman"/>
          <w:b/>
          <w:bCs/>
          <w:i/>
          <w:iCs/>
          <w:color w:val="auto"/>
          <w:sz w:val="24"/>
          <w:szCs w:val="24"/>
          <w:lang w:val="en-US" w:eastAsia="zh-CN"/>
        </w:rPr>
        <w:t>Table S9. Model discrimination: Harrell’s C-index for multivariable Cox models.</w:t>
      </w:r>
    </w:p>
    <w:tbl>
      <w:tblPr>
        <w:tblStyle w:val="2"/>
        <w:tblW w:w="6113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2349"/>
        <w:gridCol w:w="2554"/>
      </w:tblGrid>
      <w:tr w14:paraId="11827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41760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Timepoint</w:t>
            </w:r>
          </w:p>
        </w:tc>
        <w:tc>
          <w:tcPr>
            <w:tcW w:w="23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1F0BF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Cohort</w:t>
            </w:r>
          </w:p>
        </w:tc>
        <w:tc>
          <w:tcPr>
            <w:tcW w:w="25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6A02A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C-index (95%CI)</w:t>
            </w:r>
          </w:p>
        </w:tc>
      </w:tr>
      <w:tr w14:paraId="045ED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7B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BA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Derivation (MIMIC-IV)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6B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0.675 (0.645–0.704)</w:t>
            </w:r>
          </w:p>
        </w:tc>
      </w:tr>
      <w:tr w14:paraId="38F46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05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25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Derivation (MIMIC-IV)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5D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0.670 (0.642–0.698)</w:t>
            </w:r>
          </w:p>
        </w:tc>
      </w:tr>
      <w:tr w14:paraId="547A1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F5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0C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Derivation (MIMIC-IV)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31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0.666 (0.639–0.693)</w:t>
            </w:r>
          </w:p>
        </w:tc>
      </w:tr>
      <w:tr w14:paraId="72D8C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3418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90-day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8B98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Validation (SGH)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29BB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0.673 (0.616–0.730)</w:t>
            </w:r>
          </w:p>
        </w:tc>
      </w:tr>
    </w:tbl>
    <w:p w14:paraId="387684CC">
      <w:pPr>
        <w:spacing w:before="200" w:after="40"/>
        <w:jc w:val="both"/>
        <w:rPr>
          <w:rFonts w:hint="eastAsia" w:ascii="Times New Roman" w:hAnsi="Times New Roman" w:eastAsia="Arial" w:cs="Times New Roman"/>
          <w:b/>
          <w:bCs/>
          <w:i/>
          <w:i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Arial" w:cs="Times New Roman"/>
          <w:b/>
          <w:bCs/>
          <w:i/>
          <w:iCs/>
          <w:color w:val="auto"/>
          <w:sz w:val="24"/>
          <w:szCs w:val="24"/>
          <w:lang w:val="en-US" w:eastAsia="zh-CN"/>
        </w:rPr>
        <w:t>Table S10. Baseline characteristics of the external validation cohort stratified by lactate trajectory phenotype (SGH, n = 289).</w:t>
      </w:r>
    </w:p>
    <w:tbl>
      <w:tblPr>
        <w:tblStyle w:val="2"/>
        <w:tblW w:w="11933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864"/>
        <w:gridCol w:w="1646"/>
        <w:gridCol w:w="1646"/>
        <w:gridCol w:w="1646"/>
        <w:gridCol w:w="1646"/>
        <w:gridCol w:w="1646"/>
        <w:gridCol w:w="711"/>
      </w:tblGrid>
      <w:tr w14:paraId="46EED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6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0493C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Variables</w:t>
            </w:r>
          </w:p>
        </w:tc>
        <w:tc>
          <w:tcPr>
            <w:tcW w:w="7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DEF5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0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571AB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Total(n=289)</w:t>
            </w:r>
          </w:p>
        </w:tc>
        <w:tc>
          <w:tcPr>
            <w:tcW w:w="149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0A831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 (N=215)</w:t>
            </w:r>
          </w:p>
        </w:tc>
        <w:tc>
          <w:tcPr>
            <w:tcW w:w="150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4091D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 (N=10)</w:t>
            </w:r>
          </w:p>
        </w:tc>
        <w:tc>
          <w:tcPr>
            <w:tcW w:w="156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72E98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 (N=43)</w:t>
            </w:r>
          </w:p>
        </w:tc>
        <w:tc>
          <w:tcPr>
            <w:tcW w:w="151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20192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 (N=21)</w:t>
            </w:r>
          </w:p>
        </w:tc>
        <w:tc>
          <w:tcPr>
            <w:tcW w:w="81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3ABC9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 w14:paraId="74711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0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06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ED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 (72.0%)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79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 (71.6%)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BA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(70.0%)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2A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 (74.4%)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AE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(71.4%)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EB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</w:t>
            </w:r>
          </w:p>
        </w:tc>
      </w:tr>
      <w:tr w14:paraId="2BB07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F20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48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25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 (28.0%)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91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 (28.4%)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24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76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(25.6%)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F4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(28.6%)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E72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1A3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D0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year (mean [IQR])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73B8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A7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68.3 [61.0-78.0]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1F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 [63.0-79.5]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5E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60.5 [50.8-73.0]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E8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65.0 [57.0-76.5]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D8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64.0 [57.0-74.0]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3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</w:t>
            </w:r>
          </w:p>
        </w:tc>
      </w:tr>
      <w:tr w14:paraId="349BA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4D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61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45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 (51.2%)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CA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 (46.5%)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0B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(70.0%)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27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 (60.5%)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53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(71.4%)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26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</w:p>
        </w:tc>
      </w:tr>
      <w:tr w14:paraId="47ACD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1FC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D2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75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 (48.8%)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F7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 (53.5%)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E6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86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(39.5%)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E2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(28.6%)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838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3D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BF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38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E2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 (64.4%)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67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 (62.8%)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F4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(80.0%)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12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(65.1%)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63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(71.4%)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F3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0.681</w:t>
            </w:r>
          </w:p>
        </w:tc>
      </w:tr>
      <w:tr w14:paraId="5C80B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0A8C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15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49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 (35.6%)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61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 (37.2%)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EC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(20.0%)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E3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(34.9%)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C6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(28.6%)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D0C9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1B4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D1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70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5A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 (91.0%)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83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 (92.1%)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BF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(80.0%)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E5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 (90.7%)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EE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(85.7%)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D4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0.316</w:t>
            </w:r>
          </w:p>
        </w:tc>
      </w:tr>
      <w:tr w14:paraId="606A1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B77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39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67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 (9.0%)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D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(7.9%)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AE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(20.0%)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1E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0C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(14.3%)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0A48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2B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20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2D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6A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 (90.7%)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15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 (88.4%)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6A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(100.0%)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43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 (97.7%)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49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(95.2%)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35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0.208</w:t>
            </w:r>
          </w:p>
        </w:tc>
      </w:tr>
      <w:tr w14:paraId="54B8B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C113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9C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02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 (9.3%)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69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(11.6%)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F7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30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79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A3C7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40D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DB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Cerebrovascular,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1A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AA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 (78.9%)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E2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 (78.6%)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3D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(80.0%)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25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 (76.7%)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77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(85.7%)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91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0.927</w:t>
            </w:r>
          </w:p>
        </w:tc>
      </w:tr>
      <w:tr w14:paraId="211AC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8FA7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B8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4F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 (21.1%)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F7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 (21.4%)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82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(20.0%)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D7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(23.3%)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C3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(14.3%)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6A7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D3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10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WBC, ×10⁹/L,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BB0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89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 (17.2)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96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 (6.8)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56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39.0 (76.0)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CB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CE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A3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0.576</w:t>
            </w:r>
          </w:p>
        </w:tc>
      </w:tr>
      <w:tr w14:paraId="0D03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EC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Platelet, ×10⁹/L,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80EB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E1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178.7 (101.4)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E6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181.5 (104.6)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BA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195.1 (97.3)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CF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161.9 (91.2)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0D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171.8 (93.0)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42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0.730</w:t>
            </w:r>
          </w:p>
        </w:tc>
      </w:tr>
      <w:tr w14:paraId="3F936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DB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ALT, U/L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B7F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28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104.8 (524.2)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62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 (118.6)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DA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55.0 (76.4)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E4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330.6 (1260.3)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4D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177.6 (551.2)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DA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0.138</w:t>
            </w:r>
          </w:p>
        </w:tc>
      </w:tr>
      <w:tr w14:paraId="2FDCE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0D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AST, U/L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355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AF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137.5 (569.1)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28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 (201.3)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85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122.5 (234.9)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29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356.2 (1258.8)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64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278.6 (797.1)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40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</w:tr>
      <w:tr w14:paraId="0F622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AA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LDH, U/L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2154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34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456.9 (838.5)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F3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336.4 (350.9)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D3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471.0 (361.4)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70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810.1 (1252.2)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05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956.9 (2212.0)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A6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 w14:paraId="0C62F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38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Cr, μmol/L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685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F3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151.0 (158.4)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7A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158.3 (178.0)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AD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126.6 (66.5)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72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119.5 (75.5)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3A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153.4 (86.4)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DB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0.360</w:t>
            </w:r>
          </w:p>
        </w:tc>
      </w:tr>
      <w:tr w14:paraId="5C237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13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Ca, μmol/L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1D8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8F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 (0.2)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15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 (0.2)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BD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59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B1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18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 w14:paraId="17C01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75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Mechanical ventilation,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58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89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 (44.3%)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D5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 (42.8%)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B2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(60.0%)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2E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 (53.5%)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4D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9E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0.297</w:t>
            </w:r>
          </w:p>
        </w:tc>
      </w:tr>
      <w:tr w14:paraId="7F3DD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44F6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42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C1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 (55.7%)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68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 (57.2%)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F4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(40.0%)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FF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(46.5%)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81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79C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9CA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79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 (median [IQR])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0A9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2F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 [1.0-9.0]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96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 [0.5-9.0]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0B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 [0.2-9.5]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D3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 [1.0-8.5]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91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 [3.0-11.0]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9F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</w:t>
            </w:r>
          </w:p>
        </w:tc>
      </w:tr>
      <w:tr w14:paraId="63399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33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28-day mortality,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86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F4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 (83.7%)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F5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 (83.7%)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A8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(70.0%)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42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 (88.4%)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50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(81.0%)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83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0.488</w:t>
            </w:r>
          </w:p>
        </w:tc>
      </w:tr>
      <w:tr w14:paraId="0A1C0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585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FF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B4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(16.3%)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4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(16.3%)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6D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2C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(11.6%)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A6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(19.0%)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FE9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C66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A7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60-day mortality,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20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8A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 (74.7%)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A1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 (76.3%)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E8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(60.0%)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64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 (74.4%)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3F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0E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0.457</w:t>
            </w:r>
          </w:p>
        </w:tc>
      </w:tr>
      <w:tr w14:paraId="0A49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126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DF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61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 (25.3%)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C5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 (23.7%)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7A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(40.0%)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17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(25.6%)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48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9E2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86C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A2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90-day mortality,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3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C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 (72.3%)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67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 (74.4%)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CD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(50.0%)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BC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(69.8%)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59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0F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0.329</w:t>
            </w:r>
          </w:p>
        </w:tc>
      </w:tr>
      <w:tr w14:paraId="19D9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8AE6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1B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95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 (27.7%)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ED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 (25.6%)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AF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(50.0%)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0C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(30.2%)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49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E4F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D48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88A36"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C315B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3F08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32877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C284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4D6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093EF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B29E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3782B5E">
      <w:pPr>
        <w:spacing w:before="200" w:after="40"/>
        <w:jc w:val="both"/>
        <w:rPr>
          <w:rFonts w:hint="eastAsia" w:ascii="Times New Roman" w:hAnsi="Times New Roman" w:eastAsia="Arial" w:cs="Times New Roman"/>
          <w:b/>
          <w:bCs/>
          <w:i/>
          <w:iCs/>
          <w:color w:val="auto"/>
          <w:sz w:val="24"/>
          <w:szCs w:val="24"/>
          <w:lang w:val="en-US" w:eastAsia="zh-CN"/>
        </w:rPr>
      </w:pPr>
    </w:p>
    <w:p w14:paraId="1109ED2A"/>
    <w:sectPr>
      <w:pgSz w:w="16838" w:h="11906" w:orient="landscape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B4DC3"/>
    <w:rsid w:val="32CF32C4"/>
    <w:rsid w:val="434B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1556</Words>
  <Characters>9012</Characters>
  <Lines>0</Lines>
  <Paragraphs>0</Paragraphs>
  <TotalTime>0</TotalTime>
  <ScaleCrop>false</ScaleCrop>
  <LinksUpToDate>false</LinksUpToDate>
  <CharactersWithSpaces>10158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2026-05-02T13:39:00Z</dcterms:created>
  <dc:creator>王小肥</dc:creator>
  <cp:lastModifiedBy>王小肥</cp:lastModifiedBy>
  <dcterms:modified xsi:type="dcterms:W3CDTF">2026-05-10T14:08:04Z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D4D98753BB8F44D6916CA8B460139CBF_13</vt:lpwstr>
  </property>
  <property fmtid="{D5CDD505-2E9C-101B-9397-08002B2CF9AE}" pid="4" name="KSOTemplateDocerSaveRecord">
    <vt:lpwstr>eyJoZGlkIjoiMzEwNTM5NzYwMDRjMzkwZTVkZjY2ODkwMGIxNGU0OTUiLCJ1c2VySWQiOiIyNDUxNzY0ODEifQ==</vt:lpwstr>
  </property>
</Properties>
</file>