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D5B1" w14:textId="77777777" w:rsidR="003F76BA" w:rsidRDefault="003F76BA" w:rsidP="003F76BA">
      <w:pPr>
        <w:tabs>
          <w:tab w:val="left" w:pos="720"/>
        </w:tabs>
        <w:spacing w:after="120" w:line="48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EG"/>
        </w:rPr>
        <w:t xml:space="preserve">Table (1): </w:t>
      </w:r>
      <w:r>
        <w:rPr>
          <w:sz w:val="28"/>
          <w:szCs w:val="28"/>
          <w:lang w:bidi="ar-EG"/>
        </w:rPr>
        <w:t>Comparison between the two groups as regard Visual Analogue Scale.</w:t>
      </w:r>
    </w:p>
    <w:tbl>
      <w:tblPr>
        <w:tblStyle w:val="PlainTable41"/>
        <w:tblW w:w="5000" w:type="pct"/>
        <w:tblLook w:val="04A0" w:firstRow="1" w:lastRow="0" w:firstColumn="1" w:lastColumn="0" w:noHBand="0" w:noVBand="1"/>
      </w:tblPr>
      <w:tblGrid>
        <w:gridCol w:w="1925"/>
        <w:gridCol w:w="1688"/>
        <w:gridCol w:w="1634"/>
        <w:gridCol w:w="1636"/>
        <w:gridCol w:w="1322"/>
        <w:gridCol w:w="1434"/>
      </w:tblGrid>
      <w:tr w:rsidR="003F76BA" w14:paraId="4308807A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8" w:type="pct"/>
          </w:tcPr>
          <w:p w14:paraId="5D63BB2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bookmarkStart w:id="0" w:name="_Hlk106303025"/>
            <w:bookmarkStart w:id="1" w:name="_Hlk106301553"/>
          </w:p>
        </w:tc>
        <w:tc>
          <w:tcPr>
            <w:tcW w:w="875" w:type="pct"/>
          </w:tcPr>
          <w:p w14:paraId="560F5E1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Group A (n =30)</w:t>
            </w:r>
          </w:p>
        </w:tc>
        <w:tc>
          <w:tcPr>
            <w:tcW w:w="847" w:type="pct"/>
          </w:tcPr>
          <w:p w14:paraId="2699AEE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Group B (n =30)</w:t>
            </w:r>
          </w:p>
        </w:tc>
        <w:tc>
          <w:tcPr>
            <w:tcW w:w="848" w:type="pct"/>
          </w:tcPr>
          <w:p w14:paraId="70D7111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FF0000"/>
                <w:lang w:bidi="ar-EG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lang w:bidi="ar-EG"/>
              </w:rPr>
              <w:t xml:space="preserve"> group A versus </w:t>
            </w:r>
          </w:p>
          <w:p w14:paraId="05B72B9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group B</w:t>
            </w:r>
          </w:p>
        </w:tc>
        <w:tc>
          <w:tcPr>
            <w:tcW w:w="685" w:type="pct"/>
          </w:tcPr>
          <w:p w14:paraId="5F0F4AE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68B8F84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 xml:space="preserve">Intragroup A  </w:t>
            </w:r>
          </w:p>
          <w:p w14:paraId="1B19816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 xml:space="preserve"> </w:t>
            </w:r>
          </w:p>
        </w:tc>
        <w:tc>
          <w:tcPr>
            <w:tcW w:w="743" w:type="pct"/>
          </w:tcPr>
          <w:p w14:paraId="3C861C7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7FFDF49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 xml:space="preserve">Intragroup B </w:t>
            </w:r>
            <w:r>
              <w:rPr>
                <w:rFonts w:eastAsia="Calibri"/>
                <w:b/>
                <w:bCs/>
                <w:color w:val="FF0000"/>
                <w:lang w:bidi="ar-EG"/>
              </w:rPr>
              <w:t xml:space="preserve"> </w:t>
            </w:r>
          </w:p>
          <w:p w14:paraId="4C9D2104" w14:textId="77777777" w:rsidR="003F76BA" w:rsidRDefault="003F76BA" w:rsidP="009B47C8">
            <w:pPr>
              <w:spacing w:after="40" w:line="480" w:lineRule="auto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 xml:space="preserve"> </w:t>
            </w:r>
          </w:p>
        </w:tc>
      </w:tr>
      <w:tr w:rsidR="003F76BA" w14:paraId="60A56B24" w14:textId="77777777" w:rsidTr="009B47C8">
        <w:tc>
          <w:tcPr>
            <w:tcW w:w="998" w:type="pct"/>
          </w:tcPr>
          <w:p w14:paraId="3835A2F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bookmarkStart w:id="2" w:name="_Hlk106041642"/>
            <w:bookmarkEnd w:id="0"/>
            <w:bookmarkEnd w:id="1"/>
            <w:r>
              <w:rPr>
                <w:rFonts w:eastAsia="Calibri"/>
                <w:b/>
                <w:bCs/>
                <w:color w:val="000000"/>
                <w:lang w:bidi="ar-EG"/>
              </w:rPr>
              <w:t>VAS at Baseline</w:t>
            </w:r>
          </w:p>
          <w:p w14:paraId="7CBA6F2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1746B0D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75" w:type="pct"/>
          </w:tcPr>
          <w:p w14:paraId="0DFBE0A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12E5723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8.13±0.90</w:t>
            </w:r>
          </w:p>
          <w:p w14:paraId="075C10F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7 – 9</w:t>
            </w:r>
          </w:p>
        </w:tc>
        <w:tc>
          <w:tcPr>
            <w:tcW w:w="847" w:type="pct"/>
          </w:tcPr>
          <w:p w14:paraId="72026FF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628D8FE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8.7±0.53</w:t>
            </w:r>
          </w:p>
          <w:p w14:paraId="6BD7380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8 – 10</w:t>
            </w:r>
          </w:p>
        </w:tc>
        <w:tc>
          <w:tcPr>
            <w:tcW w:w="848" w:type="pct"/>
          </w:tcPr>
          <w:p w14:paraId="3A8E83C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0862F5C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0.004*</w:t>
            </w:r>
          </w:p>
        </w:tc>
        <w:tc>
          <w:tcPr>
            <w:tcW w:w="685" w:type="pct"/>
          </w:tcPr>
          <w:p w14:paraId="577B0CB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26A377E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</w:tc>
        <w:tc>
          <w:tcPr>
            <w:tcW w:w="743" w:type="pct"/>
          </w:tcPr>
          <w:p w14:paraId="683BFEA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</w:tc>
      </w:tr>
      <w:bookmarkEnd w:id="2"/>
      <w:tr w:rsidR="003F76BA" w14:paraId="7C29FA07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8" w:type="pct"/>
          </w:tcPr>
          <w:p w14:paraId="450C247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VAS at 1 week</w:t>
            </w:r>
          </w:p>
          <w:p w14:paraId="7DDEA6C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61B185D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75" w:type="pct"/>
          </w:tcPr>
          <w:p w14:paraId="7269AAD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5ACB79A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3.6±1.54</w:t>
            </w:r>
          </w:p>
          <w:p w14:paraId="4B06F89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 – 8</w:t>
            </w:r>
          </w:p>
        </w:tc>
        <w:tc>
          <w:tcPr>
            <w:tcW w:w="847" w:type="pct"/>
          </w:tcPr>
          <w:p w14:paraId="657AF15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388ABEC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8.27±0.69</w:t>
            </w:r>
          </w:p>
          <w:p w14:paraId="3DC5960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7 – 9</w:t>
            </w:r>
          </w:p>
        </w:tc>
        <w:tc>
          <w:tcPr>
            <w:tcW w:w="848" w:type="pct"/>
          </w:tcPr>
          <w:p w14:paraId="6019A48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52C9669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685" w:type="pct"/>
          </w:tcPr>
          <w:p w14:paraId="1370CA3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690AEF1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743" w:type="pct"/>
          </w:tcPr>
          <w:p w14:paraId="6382D49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2D2193A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</w:tr>
      <w:tr w:rsidR="003F76BA" w14:paraId="4CBC6CB5" w14:textId="77777777" w:rsidTr="009B47C8">
        <w:tc>
          <w:tcPr>
            <w:tcW w:w="998" w:type="pct"/>
          </w:tcPr>
          <w:p w14:paraId="7169DD9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VAS at 2 weeks</w:t>
            </w:r>
          </w:p>
          <w:p w14:paraId="0567F90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00C83F8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75" w:type="pct"/>
          </w:tcPr>
          <w:p w14:paraId="1D3AFA2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7A9BCCF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2.33±1.32</w:t>
            </w:r>
          </w:p>
          <w:p w14:paraId="4613DFF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1 – 5</w:t>
            </w:r>
          </w:p>
        </w:tc>
        <w:tc>
          <w:tcPr>
            <w:tcW w:w="847" w:type="pct"/>
          </w:tcPr>
          <w:p w14:paraId="0382CA2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4B91734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3.33±1.24</w:t>
            </w:r>
          </w:p>
          <w:p w14:paraId="260097C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1 – 6</w:t>
            </w:r>
          </w:p>
        </w:tc>
        <w:tc>
          <w:tcPr>
            <w:tcW w:w="848" w:type="pct"/>
          </w:tcPr>
          <w:p w14:paraId="7FCC7CF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62E32CB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0.002*</w:t>
            </w:r>
          </w:p>
        </w:tc>
        <w:tc>
          <w:tcPr>
            <w:tcW w:w="685" w:type="pct"/>
          </w:tcPr>
          <w:p w14:paraId="4036E3E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14D2386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743" w:type="pct"/>
          </w:tcPr>
          <w:p w14:paraId="5FCAFB0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090CD7B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</w:tr>
      <w:tr w:rsidR="003F76BA" w14:paraId="606242A2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8" w:type="pct"/>
          </w:tcPr>
          <w:p w14:paraId="73A344C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VAS at 3 months</w:t>
            </w:r>
          </w:p>
          <w:p w14:paraId="59935FA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05C8D11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75" w:type="pct"/>
          </w:tcPr>
          <w:p w14:paraId="040A809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21F4699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2.33±1.32</w:t>
            </w:r>
          </w:p>
          <w:p w14:paraId="388390E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1 – 5</w:t>
            </w:r>
          </w:p>
        </w:tc>
        <w:tc>
          <w:tcPr>
            <w:tcW w:w="847" w:type="pct"/>
          </w:tcPr>
          <w:p w14:paraId="2A5BFAD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25B1DD2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2.5±1.14</w:t>
            </w:r>
          </w:p>
          <w:p w14:paraId="337EB22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1 – 5</w:t>
            </w:r>
          </w:p>
        </w:tc>
        <w:tc>
          <w:tcPr>
            <w:tcW w:w="848" w:type="pct"/>
          </w:tcPr>
          <w:p w14:paraId="1E84915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5EC8083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0.382</w:t>
            </w:r>
          </w:p>
        </w:tc>
        <w:tc>
          <w:tcPr>
            <w:tcW w:w="685" w:type="pct"/>
          </w:tcPr>
          <w:p w14:paraId="3AF0623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32F4232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743" w:type="pct"/>
          </w:tcPr>
          <w:p w14:paraId="5AF58D3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1936A4F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</w:tr>
      <w:tr w:rsidR="003F76BA" w14:paraId="2108C424" w14:textId="77777777" w:rsidTr="009B47C8">
        <w:tc>
          <w:tcPr>
            <w:tcW w:w="998" w:type="pct"/>
          </w:tcPr>
          <w:p w14:paraId="34A32A9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VAS at 6 months</w:t>
            </w:r>
          </w:p>
          <w:p w14:paraId="72A52E8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45F7DFA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75" w:type="pct"/>
          </w:tcPr>
          <w:p w14:paraId="514C741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7D0F8A4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4.2±1.19</w:t>
            </w:r>
          </w:p>
          <w:p w14:paraId="583978E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 – 7</w:t>
            </w:r>
          </w:p>
        </w:tc>
        <w:tc>
          <w:tcPr>
            <w:tcW w:w="847" w:type="pct"/>
          </w:tcPr>
          <w:p w14:paraId="2FE0E48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61ACE7D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2.5±1.2</w:t>
            </w:r>
          </w:p>
          <w:p w14:paraId="4147DFA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1 – 5</w:t>
            </w:r>
          </w:p>
        </w:tc>
        <w:tc>
          <w:tcPr>
            <w:tcW w:w="848" w:type="pct"/>
          </w:tcPr>
          <w:p w14:paraId="7D5CDA3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6E2D7A0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685" w:type="pct"/>
          </w:tcPr>
          <w:p w14:paraId="61AF41F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1B82C8C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743" w:type="pct"/>
          </w:tcPr>
          <w:p w14:paraId="035DFDB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47DA695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</w:tr>
      <w:tr w:rsidR="003F76BA" w14:paraId="28BDB980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8" w:type="pct"/>
          </w:tcPr>
          <w:p w14:paraId="68596B1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VAS at 12 months</w:t>
            </w:r>
          </w:p>
          <w:p w14:paraId="496F807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55A141C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75" w:type="pct"/>
          </w:tcPr>
          <w:p w14:paraId="26647D1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78202F2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7.3±1.24</w:t>
            </w:r>
          </w:p>
          <w:p w14:paraId="05BEBE4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5 – 9</w:t>
            </w:r>
          </w:p>
        </w:tc>
        <w:tc>
          <w:tcPr>
            <w:tcW w:w="847" w:type="pct"/>
          </w:tcPr>
          <w:p w14:paraId="0197214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</w:p>
          <w:p w14:paraId="1DE49F6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2.97±1.27</w:t>
            </w:r>
          </w:p>
          <w:p w14:paraId="66C4CB0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bidi="ar-EG"/>
              </w:rPr>
              <w:t>1 – 6</w:t>
            </w:r>
          </w:p>
        </w:tc>
        <w:tc>
          <w:tcPr>
            <w:tcW w:w="848" w:type="pct"/>
          </w:tcPr>
          <w:p w14:paraId="26AD93E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6C0F406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685" w:type="pct"/>
          </w:tcPr>
          <w:p w14:paraId="2027BB6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2F4DAA4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  <w:tc>
          <w:tcPr>
            <w:tcW w:w="743" w:type="pct"/>
          </w:tcPr>
          <w:p w14:paraId="518B08D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</w:p>
          <w:p w14:paraId="5DDE004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bidi="ar-EG"/>
              </w:rPr>
              <w:t>&lt;0.0001*</w:t>
            </w:r>
          </w:p>
        </w:tc>
      </w:tr>
    </w:tbl>
    <w:p w14:paraId="11823A32" w14:textId="77777777" w:rsidR="003F76BA" w:rsidRDefault="003F76BA" w:rsidP="003F76BA">
      <w:pPr>
        <w:spacing w:line="480" w:lineRule="auto"/>
        <w:jc w:val="both"/>
        <w:rPr>
          <w:b/>
          <w:bCs/>
          <w:sz w:val="28"/>
          <w:szCs w:val="28"/>
          <w:lang w:bidi="ar-EG"/>
        </w:rPr>
      </w:pPr>
      <w:r>
        <w:rPr>
          <w:rFonts w:eastAsia="Calibri"/>
          <w:sz w:val="16"/>
          <w:szCs w:val="16"/>
        </w:rPr>
        <w:t xml:space="preserve">Group A = Ultrasound guided, Group B = Fluoroscopic guided </w:t>
      </w:r>
      <w:bookmarkStart w:id="3" w:name="_Toc114594030"/>
      <w:r>
        <w:rPr>
          <w:rFonts w:eastAsia="Calibri"/>
          <w:sz w:val="16"/>
          <w:szCs w:val="16"/>
        </w:rPr>
        <w:t>, VAS = Visual Analogue Scale, * = Statistically significant, SD = standard deviation.</w:t>
      </w:r>
    </w:p>
    <w:p w14:paraId="4BFF49B5" w14:textId="77777777" w:rsidR="003F76BA" w:rsidRDefault="003F76BA" w:rsidP="003F76BA">
      <w:pPr>
        <w:spacing w:line="480" w:lineRule="auto"/>
        <w:jc w:val="both"/>
        <w:rPr>
          <w:b/>
          <w:bCs/>
          <w:sz w:val="28"/>
          <w:szCs w:val="28"/>
          <w:lang w:bidi="ar-EG"/>
        </w:rPr>
      </w:pPr>
    </w:p>
    <w:p w14:paraId="1BBB91C7" w14:textId="77777777" w:rsidR="003F76BA" w:rsidRDefault="003F76BA" w:rsidP="003F76BA">
      <w:pPr>
        <w:spacing w:line="480" w:lineRule="auto"/>
        <w:jc w:val="both"/>
        <w:rPr>
          <w:b/>
          <w:bCs/>
          <w:sz w:val="28"/>
          <w:szCs w:val="28"/>
          <w:lang w:bidi="ar-EG"/>
        </w:rPr>
      </w:pPr>
    </w:p>
    <w:p w14:paraId="05D43DC9" w14:textId="77777777" w:rsidR="003F76BA" w:rsidRDefault="003F76BA" w:rsidP="003F76BA">
      <w:pPr>
        <w:jc w:val="both"/>
        <w:rPr>
          <w:b/>
          <w:bCs/>
          <w:sz w:val="28"/>
          <w:szCs w:val="28"/>
          <w:lang w:bidi="ar-EG"/>
        </w:rPr>
      </w:pPr>
    </w:p>
    <w:p w14:paraId="3A530E3A" w14:textId="77777777" w:rsidR="003F76BA" w:rsidRDefault="003F76BA" w:rsidP="003F76BA">
      <w:pPr>
        <w:jc w:val="both"/>
        <w:rPr>
          <w:b/>
          <w:bCs/>
          <w:sz w:val="28"/>
          <w:szCs w:val="28"/>
          <w:lang w:bidi="ar-EG"/>
        </w:rPr>
      </w:pPr>
    </w:p>
    <w:p w14:paraId="1F55A87B" w14:textId="77777777" w:rsidR="003F76BA" w:rsidRDefault="003F76BA" w:rsidP="003F76BA">
      <w:pPr>
        <w:spacing w:line="480" w:lineRule="auto"/>
        <w:jc w:val="both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Table (2): </w:t>
      </w:r>
      <w:r>
        <w:rPr>
          <w:sz w:val="28"/>
          <w:szCs w:val="28"/>
          <w:lang w:bidi="ar-EG"/>
        </w:rPr>
        <w:t>Comparison between the two groups as regard Mankoski Pain Scale</w:t>
      </w:r>
      <w:bookmarkEnd w:id="3"/>
      <w:r>
        <w:rPr>
          <w:sz w:val="28"/>
          <w:szCs w:val="28"/>
          <w:lang w:bidi="ar-EG"/>
        </w:rPr>
        <w:t>.</w:t>
      </w:r>
    </w:p>
    <w:tbl>
      <w:tblPr>
        <w:tblStyle w:val="PlainTable41"/>
        <w:tblW w:w="4822" w:type="pct"/>
        <w:tblLook w:val="04A0" w:firstRow="1" w:lastRow="0" w:firstColumn="1" w:lastColumn="0" w:noHBand="0" w:noVBand="1"/>
      </w:tblPr>
      <w:tblGrid>
        <w:gridCol w:w="1756"/>
        <w:gridCol w:w="1561"/>
        <w:gridCol w:w="1559"/>
        <w:gridCol w:w="1653"/>
        <w:gridCol w:w="1391"/>
        <w:gridCol w:w="1376"/>
      </w:tblGrid>
      <w:tr w:rsidR="003F76BA" w14:paraId="2751388B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944" w:type="pct"/>
          </w:tcPr>
          <w:p w14:paraId="342D2F4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</w:tc>
        <w:tc>
          <w:tcPr>
            <w:tcW w:w="839" w:type="pct"/>
          </w:tcPr>
          <w:p w14:paraId="447AAFC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Group A (n=30)</w:t>
            </w:r>
          </w:p>
        </w:tc>
        <w:tc>
          <w:tcPr>
            <w:tcW w:w="838" w:type="pct"/>
          </w:tcPr>
          <w:p w14:paraId="31B60CA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Group B (n=30)</w:t>
            </w:r>
          </w:p>
        </w:tc>
        <w:tc>
          <w:tcPr>
            <w:tcW w:w="888" w:type="pct"/>
          </w:tcPr>
          <w:p w14:paraId="300F643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 xml:space="preserve">  group A versus </w:t>
            </w:r>
          </w:p>
          <w:p w14:paraId="59836E4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group B</w:t>
            </w:r>
          </w:p>
        </w:tc>
        <w:tc>
          <w:tcPr>
            <w:tcW w:w="748" w:type="pct"/>
          </w:tcPr>
          <w:p w14:paraId="2229DE9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 xml:space="preserve">Intragroup A </w:t>
            </w:r>
          </w:p>
        </w:tc>
        <w:tc>
          <w:tcPr>
            <w:tcW w:w="740" w:type="pct"/>
          </w:tcPr>
          <w:p w14:paraId="3B4D80C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Intragroup B</w:t>
            </w:r>
          </w:p>
        </w:tc>
      </w:tr>
      <w:tr w:rsidR="003F76BA" w14:paraId="3DBBE676" w14:textId="77777777" w:rsidTr="009B47C8">
        <w:tc>
          <w:tcPr>
            <w:tcW w:w="944" w:type="pct"/>
          </w:tcPr>
          <w:p w14:paraId="71F2EA7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MPS at Baseline</w:t>
            </w:r>
          </w:p>
          <w:p w14:paraId="0F19930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632A253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39" w:type="pct"/>
          </w:tcPr>
          <w:p w14:paraId="62E2BF9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2FDCF36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5.63±0.49</w:t>
            </w:r>
          </w:p>
          <w:p w14:paraId="4A7361D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5 – 6</w:t>
            </w:r>
          </w:p>
        </w:tc>
        <w:tc>
          <w:tcPr>
            <w:tcW w:w="838" w:type="pct"/>
          </w:tcPr>
          <w:p w14:paraId="477CFBE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20D97AE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5.4±0.50</w:t>
            </w:r>
          </w:p>
          <w:p w14:paraId="524BE40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5 – 6</w:t>
            </w:r>
          </w:p>
        </w:tc>
        <w:tc>
          <w:tcPr>
            <w:tcW w:w="888" w:type="pct"/>
          </w:tcPr>
          <w:p w14:paraId="4477B5A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3F80FB6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0.073</w:t>
            </w:r>
          </w:p>
        </w:tc>
        <w:tc>
          <w:tcPr>
            <w:tcW w:w="748" w:type="pct"/>
          </w:tcPr>
          <w:p w14:paraId="523A2EB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</w:tc>
        <w:tc>
          <w:tcPr>
            <w:tcW w:w="740" w:type="pct"/>
          </w:tcPr>
          <w:p w14:paraId="1D1EB2B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</w:tc>
      </w:tr>
      <w:tr w:rsidR="003F76BA" w14:paraId="62046E25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4" w:type="pct"/>
          </w:tcPr>
          <w:p w14:paraId="6C85029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MPS at 1 week</w:t>
            </w:r>
          </w:p>
          <w:p w14:paraId="45C2921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546B277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39" w:type="pct"/>
          </w:tcPr>
          <w:p w14:paraId="2DD4DE8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5A6A085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2.7±1.34</w:t>
            </w:r>
          </w:p>
          <w:p w14:paraId="30CF7C0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5</w:t>
            </w:r>
          </w:p>
        </w:tc>
        <w:tc>
          <w:tcPr>
            <w:tcW w:w="838" w:type="pct"/>
          </w:tcPr>
          <w:p w14:paraId="22D6D54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26C063A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4.9±0.48</w:t>
            </w:r>
          </w:p>
          <w:p w14:paraId="3DBCB2B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4 – 6</w:t>
            </w:r>
          </w:p>
        </w:tc>
        <w:tc>
          <w:tcPr>
            <w:tcW w:w="888" w:type="pct"/>
          </w:tcPr>
          <w:p w14:paraId="0B222D7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3938080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8" w:type="pct"/>
          </w:tcPr>
          <w:p w14:paraId="3598B26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3E02278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0" w:type="pct"/>
          </w:tcPr>
          <w:p w14:paraId="73B2A899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27FAF7E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</w:tr>
      <w:tr w:rsidR="003F76BA" w14:paraId="73972D6C" w14:textId="77777777" w:rsidTr="009B47C8">
        <w:tc>
          <w:tcPr>
            <w:tcW w:w="944" w:type="pct"/>
          </w:tcPr>
          <w:p w14:paraId="5F02617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MPS at 2 weeks</w:t>
            </w:r>
          </w:p>
          <w:p w14:paraId="7963401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6F9EB55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39" w:type="pct"/>
          </w:tcPr>
          <w:p w14:paraId="369F44D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1720A02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1.63±1.0</w:t>
            </w:r>
          </w:p>
          <w:p w14:paraId="59ADE7C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4</w:t>
            </w:r>
          </w:p>
        </w:tc>
        <w:tc>
          <w:tcPr>
            <w:tcW w:w="838" w:type="pct"/>
          </w:tcPr>
          <w:p w14:paraId="7FA128F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64AE432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2.3±0.65</w:t>
            </w:r>
          </w:p>
          <w:p w14:paraId="0C52454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4</w:t>
            </w:r>
          </w:p>
        </w:tc>
        <w:tc>
          <w:tcPr>
            <w:tcW w:w="888" w:type="pct"/>
          </w:tcPr>
          <w:p w14:paraId="4B39353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6CBAAF08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0.003*</w:t>
            </w:r>
          </w:p>
        </w:tc>
        <w:tc>
          <w:tcPr>
            <w:tcW w:w="748" w:type="pct"/>
          </w:tcPr>
          <w:p w14:paraId="50D9A70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48E9078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0" w:type="pct"/>
          </w:tcPr>
          <w:p w14:paraId="2ED21C3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4D91F60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</w:tr>
      <w:tr w:rsidR="003F76BA" w14:paraId="4592F41C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4" w:type="pct"/>
          </w:tcPr>
          <w:p w14:paraId="09B676C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MPS at 3 months</w:t>
            </w:r>
          </w:p>
          <w:p w14:paraId="37F6A0F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0B899E7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39" w:type="pct"/>
          </w:tcPr>
          <w:p w14:paraId="3991DFD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2C44874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1.63±1.0</w:t>
            </w:r>
          </w:p>
          <w:p w14:paraId="5C05AE2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4</w:t>
            </w:r>
          </w:p>
        </w:tc>
        <w:tc>
          <w:tcPr>
            <w:tcW w:w="838" w:type="pct"/>
          </w:tcPr>
          <w:p w14:paraId="60F679A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6AA544E5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1.93±0.58</w:t>
            </w:r>
          </w:p>
          <w:p w14:paraId="6150E77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3</w:t>
            </w:r>
          </w:p>
        </w:tc>
        <w:tc>
          <w:tcPr>
            <w:tcW w:w="888" w:type="pct"/>
          </w:tcPr>
          <w:p w14:paraId="77CDD8F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2F094FC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0.382</w:t>
            </w:r>
          </w:p>
        </w:tc>
        <w:tc>
          <w:tcPr>
            <w:tcW w:w="748" w:type="pct"/>
          </w:tcPr>
          <w:p w14:paraId="13473DD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2F1B6CA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0" w:type="pct"/>
          </w:tcPr>
          <w:p w14:paraId="4A24AB9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7BD8C1E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</w:tr>
      <w:tr w:rsidR="003F76BA" w14:paraId="437C4C1C" w14:textId="77777777" w:rsidTr="009B47C8">
        <w:tc>
          <w:tcPr>
            <w:tcW w:w="944" w:type="pct"/>
          </w:tcPr>
          <w:p w14:paraId="31ABBD80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MPS at 6 months</w:t>
            </w:r>
          </w:p>
          <w:p w14:paraId="24919D7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01536A8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39" w:type="pct"/>
          </w:tcPr>
          <w:p w14:paraId="782B682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3447A49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3.1±1.1</w:t>
            </w:r>
          </w:p>
          <w:p w14:paraId="3B81328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5</w:t>
            </w:r>
          </w:p>
        </w:tc>
        <w:tc>
          <w:tcPr>
            <w:tcW w:w="838" w:type="pct"/>
          </w:tcPr>
          <w:p w14:paraId="667D504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707E3DD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1.9±0.55</w:t>
            </w:r>
          </w:p>
          <w:p w14:paraId="3618215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3</w:t>
            </w:r>
          </w:p>
        </w:tc>
        <w:tc>
          <w:tcPr>
            <w:tcW w:w="888" w:type="pct"/>
          </w:tcPr>
          <w:p w14:paraId="56C43A0F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40F42C6A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8" w:type="pct"/>
          </w:tcPr>
          <w:p w14:paraId="7258A59D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4DD6605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0" w:type="pct"/>
          </w:tcPr>
          <w:p w14:paraId="343A971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46C30AA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</w:tr>
      <w:tr w:rsidR="003F76BA" w14:paraId="4D3BCDA2" w14:textId="77777777" w:rsidTr="009B4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4" w:type="pct"/>
          </w:tcPr>
          <w:p w14:paraId="1280A4CB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MPS at 12 months</w:t>
            </w:r>
          </w:p>
          <w:p w14:paraId="6C3EB252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Mean±SD</w:t>
            </w:r>
          </w:p>
          <w:p w14:paraId="3C4BE4E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Range</w:t>
            </w:r>
          </w:p>
        </w:tc>
        <w:tc>
          <w:tcPr>
            <w:tcW w:w="839" w:type="pct"/>
          </w:tcPr>
          <w:p w14:paraId="469A631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2BD8410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5.1±0.76</w:t>
            </w:r>
          </w:p>
          <w:p w14:paraId="22434A9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4 – 6</w:t>
            </w:r>
          </w:p>
        </w:tc>
        <w:tc>
          <w:tcPr>
            <w:tcW w:w="838" w:type="pct"/>
          </w:tcPr>
          <w:p w14:paraId="0A913A4E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</w:p>
          <w:p w14:paraId="007685B3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2.07±0.64</w:t>
            </w:r>
          </w:p>
          <w:p w14:paraId="5DF3E2D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Cs/>
                <w:color w:val="000000"/>
                <w:lang w:bidi="ar-EG"/>
              </w:rPr>
            </w:pPr>
            <w:r>
              <w:rPr>
                <w:rFonts w:eastAsia="Calibri"/>
                <w:bCs/>
                <w:color w:val="000000"/>
                <w:lang w:bidi="ar-EG"/>
              </w:rPr>
              <w:t>1 – 4</w:t>
            </w:r>
          </w:p>
        </w:tc>
        <w:tc>
          <w:tcPr>
            <w:tcW w:w="888" w:type="pct"/>
          </w:tcPr>
          <w:p w14:paraId="70514E01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7A2A7F1C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  <w:tc>
          <w:tcPr>
            <w:tcW w:w="748" w:type="pct"/>
          </w:tcPr>
          <w:p w14:paraId="4B5B540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09B357F4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0.001*</w:t>
            </w:r>
          </w:p>
        </w:tc>
        <w:tc>
          <w:tcPr>
            <w:tcW w:w="740" w:type="pct"/>
          </w:tcPr>
          <w:p w14:paraId="4041E316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</w:p>
          <w:p w14:paraId="3AB1ACB7" w14:textId="77777777" w:rsidR="003F76BA" w:rsidRDefault="003F76BA" w:rsidP="009B47C8">
            <w:pPr>
              <w:spacing w:after="40" w:line="480" w:lineRule="auto"/>
              <w:jc w:val="center"/>
              <w:rPr>
                <w:rFonts w:eastAsia="Calibri"/>
                <w:b/>
                <w:bCs/>
                <w:color w:val="000000"/>
                <w:lang w:bidi="ar-EG"/>
              </w:rPr>
            </w:pPr>
            <w:r>
              <w:rPr>
                <w:rFonts w:eastAsia="Calibri"/>
                <w:b/>
                <w:bCs/>
                <w:color w:val="000000"/>
                <w:lang w:bidi="ar-EG"/>
              </w:rPr>
              <w:t>&lt;0.0001*</w:t>
            </w:r>
          </w:p>
        </w:tc>
      </w:tr>
    </w:tbl>
    <w:p w14:paraId="0A4CA1F0" w14:textId="77777777" w:rsidR="003F76BA" w:rsidRDefault="003F76BA" w:rsidP="003F76BA">
      <w:pPr>
        <w:spacing w:line="480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MPS =  Mankoski Pain Scale.</w:t>
      </w:r>
    </w:p>
    <w:p w14:paraId="38ED1EBF" w14:textId="77777777" w:rsidR="003F76BA" w:rsidRDefault="003F76BA" w:rsidP="003F76BA">
      <w:pPr>
        <w:keepLines/>
        <w:spacing w:after="120"/>
        <w:jc w:val="lowKashida"/>
        <w:rPr>
          <w:b/>
          <w:bCs/>
          <w:sz w:val="28"/>
          <w:szCs w:val="28"/>
        </w:rPr>
      </w:pPr>
    </w:p>
    <w:p w14:paraId="7BC165D1" w14:textId="77777777" w:rsidR="00E023F9" w:rsidRDefault="00E023F9"/>
    <w:sectPr w:rsidR="00E023F9" w:rsidSect="003F76BA">
      <w:headerReference w:type="default" r:id="rId4"/>
      <w:footerReference w:type="even" r:id="rId5"/>
      <w:footerReference w:type="default" r:id="rId6"/>
      <w:pgSz w:w="11907" w:h="16840" w:code="9"/>
      <w:pgMar w:top="1134" w:right="1134" w:bottom="1134" w:left="1134" w:header="737" w:footer="737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28F2" w14:textId="77777777" w:rsidR="003F76BA" w:rsidRDefault="003F76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A0C8C20" w14:textId="77777777" w:rsidR="003F76BA" w:rsidRDefault="003F7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B7CE" w14:textId="77777777" w:rsidR="003F76BA" w:rsidRDefault="003F76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</w:rPr>
      <w:t>6</w:t>
    </w:r>
    <w:r>
      <w:rPr>
        <w:rStyle w:val="PageNumber"/>
        <w:rtl/>
      </w:rPr>
      <w:fldChar w:fldCharType="end"/>
    </w:r>
  </w:p>
  <w:p w14:paraId="0C0B1B1A" w14:textId="77777777" w:rsidR="003F76BA" w:rsidRDefault="003F76B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0724" w14:textId="77777777" w:rsidR="003F76BA" w:rsidRDefault="003F76BA">
    <w:pPr>
      <w:jc w:val="center"/>
      <w:rPr>
        <w:sz w:val="13"/>
        <w:szCs w:val="13"/>
      </w:rPr>
    </w:pPr>
    <w:r>
      <w:rPr>
        <w:sz w:val="13"/>
        <w:szCs w:val="13"/>
      </w:rPr>
      <w:t>We confirm that we have read the journal's position on issues involved in ethical publication and affirm that this report is consistent with those guidelines.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BA"/>
    <w:rsid w:val="000C4033"/>
    <w:rsid w:val="00173ED8"/>
    <w:rsid w:val="002F50B1"/>
    <w:rsid w:val="003F76BA"/>
    <w:rsid w:val="004B42CB"/>
    <w:rsid w:val="005F2B46"/>
    <w:rsid w:val="006E1731"/>
    <w:rsid w:val="00866D74"/>
    <w:rsid w:val="00882A73"/>
    <w:rsid w:val="00906905"/>
    <w:rsid w:val="0095305D"/>
    <w:rsid w:val="00A43112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71A0"/>
  <w15:chartTrackingRefBased/>
  <w15:docId w15:val="{47816E59-9D91-466B-8C7D-592EA81F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BA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6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6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6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6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6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6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6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6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6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6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7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6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7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6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7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6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7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6B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3F76BA"/>
    <w:pPr>
      <w:tabs>
        <w:tab w:val="center" w:pos="4140"/>
        <w:tab w:val="right" w:pos="8300"/>
      </w:tabs>
    </w:pPr>
  </w:style>
  <w:style w:type="character" w:customStyle="1" w:styleId="FooterChar">
    <w:name w:val="Footer Char"/>
    <w:basedOn w:val="DefaultParagraphFont"/>
    <w:link w:val="Footer"/>
    <w:rsid w:val="003F76B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rsid w:val="003F76BA"/>
    <w:rPr>
      <w:rFonts w:ascii="Times New Roman" w:eastAsia="Times New Roman" w:hAnsi="Times New Roman" w:cs="Times New Roman"/>
    </w:rPr>
  </w:style>
  <w:style w:type="table" w:customStyle="1" w:styleId="PlainTable41">
    <w:name w:val="Plain Table 41"/>
    <w:basedOn w:val="TableNormal"/>
    <w:rsid w:val="003F76B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</w:tbl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2026-06-25T11:51:00Z</dcterms:created>
  <dcterms:modified xsi:type="dcterms:W3CDTF">2026-06-25T11:51:00Z</dcterms:modified>
</cp:coreProperties>
</file>