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15F" w14:textId="77777777" w:rsidR="005966CC" w:rsidRPr="009E0FF1" w:rsidRDefault="005966CC" w:rsidP="005966CC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14:paraId="5E4BDF1E" w14:textId="77777777" w:rsidR="005966CC" w:rsidRPr="009E0FF1" w:rsidRDefault="005966CC" w:rsidP="005966CC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14:paraId="1FBB784A" w14:textId="77777777" w:rsidR="005966CC" w:rsidRPr="009E0FF1" w:rsidRDefault="005966CC" w:rsidP="005966CC">
      <w:pPr>
        <w:spacing w:line="480" w:lineRule="auto"/>
        <w:jc w:val="both"/>
        <w:rPr>
          <w:rStyle w:val="Strong"/>
          <w:rFonts w:cstheme="minorHAnsi"/>
          <w:sz w:val="24"/>
          <w:szCs w:val="24"/>
        </w:rPr>
      </w:pPr>
      <w:r w:rsidRPr="009E0FF1">
        <w:rPr>
          <w:rStyle w:val="Strong"/>
          <w:rFonts w:cstheme="minorHAnsi"/>
          <w:sz w:val="24"/>
          <w:szCs w:val="24"/>
        </w:rPr>
        <w:t>Supplementary Material</w:t>
      </w:r>
    </w:p>
    <w:p w14:paraId="7602620E" w14:textId="77777777" w:rsidR="005966CC" w:rsidRPr="009E0FF1" w:rsidRDefault="005966CC" w:rsidP="005966CC">
      <w:pPr>
        <w:spacing w:line="480" w:lineRule="auto"/>
        <w:jc w:val="both"/>
        <w:rPr>
          <w:rStyle w:val="Strong"/>
          <w:rFonts w:cstheme="minorHAnsi"/>
          <w:sz w:val="24"/>
          <w:szCs w:val="24"/>
        </w:rPr>
      </w:pPr>
      <w:r w:rsidRPr="009E0FF1">
        <w:rPr>
          <w:rStyle w:val="Strong"/>
          <w:rFonts w:cstheme="minorHAnsi"/>
          <w:sz w:val="24"/>
          <w:szCs w:val="24"/>
        </w:rPr>
        <w:t>Supplementary Table 1: Dose–Response Relationship Between PSQI Quartile and Psychiatric Morbidity (MMS ≥ 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278"/>
        <w:gridCol w:w="1558"/>
        <w:gridCol w:w="1558"/>
        <w:gridCol w:w="1559"/>
        <w:gridCol w:w="1559"/>
      </w:tblGrid>
      <w:tr w:rsidR="005966CC" w:rsidRPr="009E0FF1" w14:paraId="130A7527" w14:textId="77777777" w:rsidTr="00CC4206">
        <w:tc>
          <w:tcPr>
            <w:tcW w:w="1838" w:type="dxa"/>
          </w:tcPr>
          <w:p w14:paraId="5478B59C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  <w:b/>
                <w:bCs/>
              </w:rPr>
            </w:pPr>
            <w:r w:rsidRPr="009E0FF1">
              <w:rPr>
                <w:rFonts w:cstheme="minorHAnsi"/>
                <w:b/>
                <w:bCs/>
              </w:rPr>
              <w:t>PSQI Quartile</w:t>
            </w:r>
          </w:p>
        </w:tc>
        <w:tc>
          <w:tcPr>
            <w:tcW w:w="1278" w:type="dxa"/>
          </w:tcPr>
          <w:p w14:paraId="35DC0BB2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  <w:b/>
                <w:bCs/>
              </w:rPr>
            </w:pPr>
            <w:r w:rsidRPr="009E0FF1">
              <w:rPr>
                <w:rFonts w:cstheme="minorHAnsi"/>
                <w:b/>
                <w:bCs/>
              </w:rPr>
              <w:t>PSQI Score Range</w:t>
            </w:r>
          </w:p>
        </w:tc>
        <w:tc>
          <w:tcPr>
            <w:tcW w:w="1558" w:type="dxa"/>
          </w:tcPr>
          <w:p w14:paraId="55B98654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  <w:b/>
                <w:bCs/>
              </w:rPr>
            </w:pPr>
            <w:r w:rsidRPr="009E0FF1">
              <w:rPr>
                <w:rFonts w:cstheme="minorHAnsi"/>
                <w:b/>
                <w:bCs/>
              </w:rPr>
              <w:t>n (%)</w:t>
            </w:r>
          </w:p>
        </w:tc>
        <w:tc>
          <w:tcPr>
            <w:tcW w:w="1558" w:type="dxa"/>
          </w:tcPr>
          <w:p w14:paraId="4963161D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  <w:b/>
                <w:bCs/>
              </w:rPr>
            </w:pPr>
            <w:r w:rsidRPr="009E0FF1">
              <w:rPr>
                <w:rFonts w:cstheme="minorHAnsi"/>
                <w:b/>
                <w:bCs/>
              </w:rPr>
              <w:t>Adjusted OR</w:t>
            </w:r>
          </w:p>
        </w:tc>
        <w:tc>
          <w:tcPr>
            <w:tcW w:w="1559" w:type="dxa"/>
          </w:tcPr>
          <w:p w14:paraId="795428F4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  <w:b/>
                <w:bCs/>
              </w:rPr>
            </w:pPr>
            <w:r w:rsidRPr="009E0FF1">
              <w:rPr>
                <w:rFonts w:cstheme="minorHAnsi"/>
                <w:b/>
                <w:bCs/>
              </w:rPr>
              <w:t>95% CI</w:t>
            </w:r>
          </w:p>
        </w:tc>
        <w:tc>
          <w:tcPr>
            <w:tcW w:w="1559" w:type="dxa"/>
          </w:tcPr>
          <w:p w14:paraId="2CB4115A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  <w:b/>
                <w:bCs/>
              </w:rPr>
            </w:pPr>
            <w:r w:rsidRPr="009E0FF1">
              <w:rPr>
                <w:rFonts w:cstheme="minorHAnsi"/>
                <w:b/>
                <w:bCs/>
              </w:rPr>
              <w:t>p value</w:t>
            </w:r>
          </w:p>
        </w:tc>
      </w:tr>
      <w:tr w:rsidR="005966CC" w:rsidRPr="009E0FF1" w14:paraId="12284D27" w14:textId="77777777" w:rsidTr="00CC4206">
        <w:tc>
          <w:tcPr>
            <w:tcW w:w="1838" w:type="dxa"/>
          </w:tcPr>
          <w:p w14:paraId="133D0946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Q1 (Reference)</w:t>
            </w:r>
          </w:p>
        </w:tc>
        <w:tc>
          <w:tcPr>
            <w:tcW w:w="1278" w:type="dxa"/>
          </w:tcPr>
          <w:p w14:paraId="27998D6F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1-3</w:t>
            </w:r>
          </w:p>
        </w:tc>
        <w:tc>
          <w:tcPr>
            <w:tcW w:w="1558" w:type="dxa"/>
          </w:tcPr>
          <w:p w14:paraId="48D3AE58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253 (29.2%)</w:t>
            </w:r>
          </w:p>
        </w:tc>
        <w:tc>
          <w:tcPr>
            <w:tcW w:w="1558" w:type="dxa"/>
          </w:tcPr>
          <w:p w14:paraId="7BD449B2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1.00</w:t>
            </w:r>
          </w:p>
        </w:tc>
        <w:tc>
          <w:tcPr>
            <w:tcW w:w="1559" w:type="dxa"/>
            <w:vAlign w:val="center"/>
          </w:tcPr>
          <w:p w14:paraId="1A1C28CD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-</w:t>
            </w:r>
          </w:p>
        </w:tc>
        <w:tc>
          <w:tcPr>
            <w:tcW w:w="1559" w:type="dxa"/>
            <w:vAlign w:val="center"/>
          </w:tcPr>
          <w:p w14:paraId="4556131E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-</w:t>
            </w:r>
          </w:p>
        </w:tc>
      </w:tr>
      <w:tr w:rsidR="005966CC" w:rsidRPr="009E0FF1" w14:paraId="625EA425" w14:textId="77777777" w:rsidTr="00CC4206">
        <w:tc>
          <w:tcPr>
            <w:tcW w:w="1838" w:type="dxa"/>
          </w:tcPr>
          <w:p w14:paraId="2F24902F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Q2</w:t>
            </w:r>
          </w:p>
        </w:tc>
        <w:tc>
          <w:tcPr>
            <w:tcW w:w="1278" w:type="dxa"/>
          </w:tcPr>
          <w:p w14:paraId="28BC2BB3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4-5</w:t>
            </w:r>
          </w:p>
        </w:tc>
        <w:tc>
          <w:tcPr>
            <w:tcW w:w="1558" w:type="dxa"/>
          </w:tcPr>
          <w:p w14:paraId="55E53696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286 (33.1%)</w:t>
            </w:r>
          </w:p>
        </w:tc>
        <w:tc>
          <w:tcPr>
            <w:tcW w:w="1558" w:type="dxa"/>
          </w:tcPr>
          <w:p w14:paraId="556BFA0C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2.33</w:t>
            </w:r>
          </w:p>
        </w:tc>
        <w:tc>
          <w:tcPr>
            <w:tcW w:w="1559" w:type="dxa"/>
          </w:tcPr>
          <w:p w14:paraId="2A648B3B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1.40–3.88</w:t>
            </w:r>
          </w:p>
        </w:tc>
        <w:tc>
          <w:tcPr>
            <w:tcW w:w="1559" w:type="dxa"/>
          </w:tcPr>
          <w:p w14:paraId="6E3E2D59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.001</w:t>
            </w:r>
          </w:p>
        </w:tc>
      </w:tr>
      <w:tr w:rsidR="005966CC" w:rsidRPr="009E0FF1" w14:paraId="4325EE7D" w14:textId="77777777" w:rsidTr="00CC4206">
        <w:tc>
          <w:tcPr>
            <w:tcW w:w="1838" w:type="dxa"/>
          </w:tcPr>
          <w:p w14:paraId="63CC002C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Q3</w:t>
            </w:r>
          </w:p>
        </w:tc>
        <w:tc>
          <w:tcPr>
            <w:tcW w:w="1278" w:type="dxa"/>
          </w:tcPr>
          <w:p w14:paraId="242F84EF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6-7</w:t>
            </w:r>
          </w:p>
        </w:tc>
        <w:tc>
          <w:tcPr>
            <w:tcW w:w="1558" w:type="dxa"/>
          </w:tcPr>
          <w:p w14:paraId="4E0B7C58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191 (22.1%)</w:t>
            </w:r>
          </w:p>
        </w:tc>
        <w:tc>
          <w:tcPr>
            <w:tcW w:w="1558" w:type="dxa"/>
          </w:tcPr>
          <w:p w14:paraId="29AE2CAA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6.08</w:t>
            </w:r>
          </w:p>
        </w:tc>
        <w:tc>
          <w:tcPr>
            <w:tcW w:w="1559" w:type="dxa"/>
          </w:tcPr>
          <w:p w14:paraId="19F4306E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3.64–10.14</w:t>
            </w:r>
          </w:p>
        </w:tc>
        <w:tc>
          <w:tcPr>
            <w:tcW w:w="1559" w:type="dxa"/>
          </w:tcPr>
          <w:p w14:paraId="47F2A80E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&lt;.001</w:t>
            </w:r>
          </w:p>
        </w:tc>
      </w:tr>
      <w:tr w:rsidR="005966CC" w:rsidRPr="009E0FF1" w14:paraId="5A7124C2" w14:textId="77777777" w:rsidTr="00CC4206">
        <w:tc>
          <w:tcPr>
            <w:tcW w:w="1838" w:type="dxa"/>
          </w:tcPr>
          <w:p w14:paraId="213AFD3D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Q4</w:t>
            </w:r>
          </w:p>
        </w:tc>
        <w:tc>
          <w:tcPr>
            <w:tcW w:w="1278" w:type="dxa"/>
          </w:tcPr>
          <w:p w14:paraId="6F11E01A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8-19</w:t>
            </w:r>
          </w:p>
        </w:tc>
        <w:tc>
          <w:tcPr>
            <w:tcW w:w="1558" w:type="dxa"/>
          </w:tcPr>
          <w:p w14:paraId="1BCF4893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135 (15.6%)</w:t>
            </w:r>
          </w:p>
        </w:tc>
        <w:tc>
          <w:tcPr>
            <w:tcW w:w="1558" w:type="dxa"/>
          </w:tcPr>
          <w:p w14:paraId="7A1FDE14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13.06</w:t>
            </w:r>
          </w:p>
        </w:tc>
        <w:tc>
          <w:tcPr>
            <w:tcW w:w="1559" w:type="dxa"/>
          </w:tcPr>
          <w:p w14:paraId="3397ABB0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7.58–22.50</w:t>
            </w:r>
          </w:p>
        </w:tc>
        <w:tc>
          <w:tcPr>
            <w:tcW w:w="1559" w:type="dxa"/>
          </w:tcPr>
          <w:p w14:paraId="5CA253AE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&lt;.001</w:t>
            </w:r>
          </w:p>
        </w:tc>
      </w:tr>
      <w:tr w:rsidR="005966CC" w:rsidRPr="009E0FF1" w14:paraId="1A7421B4" w14:textId="77777777" w:rsidTr="00CC4206">
        <w:tc>
          <w:tcPr>
            <w:tcW w:w="9350" w:type="dxa"/>
            <w:gridSpan w:val="6"/>
          </w:tcPr>
          <w:p w14:paraId="419C0B8E" w14:textId="77777777" w:rsidR="005966CC" w:rsidRPr="009E0FF1" w:rsidRDefault="005966CC" w:rsidP="00CC4206">
            <w:pPr>
              <w:spacing w:line="480" w:lineRule="auto"/>
              <w:jc w:val="both"/>
              <w:rPr>
                <w:rFonts w:cstheme="minorHAnsi"/>
              </w:rPr>
            </w:pPr>
            <w:r w:rsidRPr="009E0FF1">
              <w:rPr>
                <w:rFonts w:cstheme="minorHAnsi"/>
              </w:rPr>
              <w:t>Adjusted for age, gender, and academic stream. Nagelkerke R² = 0.223. Per-quartile trend OR = 2.39 (95% CI: 2.02–2.82, p &lt; .001)</w:t>
            </w:r>
          </w:p>
        </w:tc>
      </w:tr>
    </w:tbl>
    <w:p w14:paraId="743DA511" w14:textId="77777777" w:rsidR="005966CC" w:rsidRPr="009E0FF1" w:rsidRDefault="005966CC" w:rsidP="005966CC">
      <w:pPr>
        <w:spacing w:line="480" w:lineRule="auto"/>
        <w:jc w:val="both"/>
        <w:rPr>
          <w:rStyle w:val="Strong"/>
          <w:rFonts w:cstheme="minorHAnsi"/>
          <w:sz w:val="24"/>
          <w:szCs w:val="24"/>
        </w:rPr>
      </w:pPr>
    </w:p>
    <w:p w14:paraId="7BF28398" w14:textId="77777777" w:rsidR="005966CC" w:rsidRPr="009E0FF1" w:rsidRDefault="005966CC" w:rsidP="005966CC">
      <w:pPr>
        <w:spacing w:line="480" w:lineRule="auto"/>
        <w:jc w:val="both"/>
        <w:rPr>
          <w:rFonts w:cstheme="minorHAnsi"/>
          <w:sz w:val="24"/>
          <w:szCs w:val="24"/>
        </w:rPr>
      </w:pPr>
      <w:r w:rsidRPr="009E0FF1">
        <w:rPr>
          <w:rStyle w:val="Strong"/>
          <w:rFonts w:cstheme="minorHAnsi"/>
          <w:sz w:val="24"/>
          <w:szCs w:val="24"/>
        </w:rPr>
        <w:t>Supplementary Figure 1. Adjusted odds ratios (95% CI) for individual PSQI components as predictors of psychiatric morbidity (MMS ≥ 6).</w:t>
      </w:r>
      <w:r w:rsidRPr="009E0FF1">
        <w:rPr>
          <w:rFonts w:cstheme="minorHAnsi"/>
          <w:sz w:val="24"/>
          <w:szCs w:val="24"/>
        </w:rPr>
        <w:t xml:space="preserve"> </w:t>
      </w:r>
    </w:p>
    <w:p w14:paraId="21AF5954" w14:textId="77777777" w:rsidR="005966CC" w:rsidRPr="009E0FF1" w:rsidRDefault="005966CC" w:rsidP="005966CC">
      <w:pPr>
        <w:spacing w:line="480" w:lineRule="auto"/>
        <w:jc w:val="both"/>
        <w:rPr>
          <w:rFonts w:cstheme="minorHAnsi"/>
          <w:sz w:val="24"/>
          <w:szCs w:val="24"/>
        </w:rPr>
      </w:pPr>
      <w:r w:rsidRPr="009E0FF1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051E2AFB" wp14:editId="71638FCF">
            <wp:extent cx="5731510" cy="34391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2AFC6" w14:textId="77777777" w:rsidR="005966CC" w:rsidRPr="009E0FF1" w:rsidRDefault="005966CC" w:rsidP="005966CC">
      <w:pPr>
        <w:spacing w:line="480" w:lineRule="auto"/>
        <w:jc w:val="both"/>
        <w:rPr>
          <w:rFonts w:cstheme="minorHAnsi"/>
          <w:sz w:val="24"/>
          <w:szCs w:val="24"/>
        </w:rPr>
      </w:pPr>
      <w:r w:rsidRPr="009E0FF1">
        <w:rPr>
          <w:rFonts w:cstheme="minorHAnsi"/>
          <w:sz w:val="24"/>
          <w:szCs w:val="24"/>
        </w:rPr>
        <w:t>Blue bars indicate statistically significant associations (p &lt; .05); gray bars indicate non-significant associations. Error bars represent 95% confidence intervals. The red dashed line indicates OR = 1.0 (reference). Adjusted for age, gender, and academic stream.</w:t>
      </w:r>
    </w:p>
    <w:p w14:paraId="7D614441" w14:textId="77777777" w:rsidR="00676F60" w:rsidRPr="005966CC" w:rsidRDefault="00676F60" w:rsidP="005966CC"/>
    <w:sectPr w:rsidR="00676F60" w:rsidRPr="005966CC" w:rsidSect="00902B55">
      <w:footerReference w:type="default" r:id="rId5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124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0F3FC" w14:textId="77777777" w:rsidR="00FF49F9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ECC0B8" w14:textId="77777777" w:rsidR="00FF49F9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1F"/>
    <w:rsid w:val="004E05C9"/>
    <w:rsid w:val="005966CC"/>
    <w:rsid w:val="005D6FC5"/>
    <w:rsid w:val="00676F60"/>
    <w:rsid w:val="0099171F"/>
    <w:rsid w:val="009D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8C169"/>
  <w15:chartTrackingRefBased/>
  <w15:docId w15:val="{7B07387C-3ADB-49FC-A373-91D230A8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6C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76F60"/>
    <w:rPr>
      <w:b/>
      <w:bCs/>
    </w:rPr>
  </w:style>
  <w:style w:type="table" w:styleId="TableGrid">
    <w:name w:val="Table Grid"/>
    <w:basedOn w:val="TableNormal"/>
    <w:uiPriority w:val="39"/>
    <w:rsid w:val="005D6FC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96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6CC"/>
    <w:rPr>
      <w:rFonts w:eastAsiaTheme="minorEastAsia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96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D'souza</dc:creator>
  <cp:keywords/>
  <dc:description/>
  <cp:lastModifiedBy>Neha D'souza</cp:lastModifiedBy>
  <cp:revision>2</cp:revision>
  <dcterms:created xsi:type="dcterms:W3CDTF">2026-05-07T09:59:00Z</dcterms:created>
  <dcterms:modified xsi:type="dcterms:W3CDTF">2026-05-07T09:59:00Z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37ee3a07-e665-4341-9671-08bb2930b86b</vt:lpwstr>
  </property>
</Properties>
</file>