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36ED5" w14:textId="46728045" w:rsidR="00912619" w:rsidRPr="00912619" w:rsidRDefault="00912619" w:rsidP="00912619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912619">
        <w:rPr>
          <w:rFonts w:ascii="Times New Roman" w:hAnsi="Times New Roman" w:cs="Times New Roman"/>
          <w:b/>
          <w:bCs/>
          <w:sz w:val="24"/>
          <w:szCs w:val="28"/>
        </w:rPr>
        <w:t>Highlight</w:t>
      </w:r>
    </w:p>
    <w:p w14:paraId="076FAAAA" w14:textId="77777777" w:rsidR="00912619" w:rsidRPr="00912619" w:rsidRDefault="00912619" w:rsidP="0091261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12619">
        <w:rPr>
          <w:rFonts w:ascii="Times New Roman" w:hAnsi="Times New Roman" w:cs="Times New Roman"/>
        </w:rPr>
        <w:t>Heatwave exposure, social vulnerability, and resilience are assessed across 183 Sichuan counties over 25 years using an integrated panel framework.</w:t>
      </w:r>
    </w:p>
    <w:p w14:paraId="61F2E198" w14:textId="77777777" w:rsidR="00912619" w:rsidRPr="00912619" w:rsidRDefault="00912619" w:rsidP="0091261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12619">
        <w:rPr>
          <w:rFonts w:ascii="Times New Roman" w:hAnsi="Times New Roman" w:cs="Times New Roman"/>
        </w:rPr>
        <w:t>Three stable hazard-vulnerability-resilience regional typologies are identified, including a paradoxical "resilience illusion" in sparsely populated plateau areas.</w:t>
      </w:r>
    </w:p>
    <w:p w14:paraId="3DC57A02" w14:textId="77777777" w:rsidR="00912619" w:rsidRPr="00912619" w:rsidRDefault="00912619" w:rsidP="0091261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12619">
        <w:rPr>
          <w:rFonts w:ascii="Times New Roman" w:hAnsi="Times New Roman" w:cs="Times New Roman"/>
        </w:rPr>
        <w:t>Vulnerability reduction systematically precedes resilience enhancement, revealing a significant predictive asymmetry across county-level jurisdictions.</w:t>
      </w:r>
    </w:p>
    <w:p w14:paraId="5BE666E2" w14:textId="77777777" w:rsidR="00912619" w:rsidRPr="00912619" w:rsidRDefault="00912619" w:rsidP="0091261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12619">
        <w:rPr>
          <w:rFonts w:ascii="Times New Roman" w:hAnsi="Times New Roman" w:cs="Times New Roman"/>
        </w:rPr>
        <w:t>Strong spatial spillover (ρ = 0.683) generates self-reinforcing vulnerability traps in peripheries and virtuous equilibria in urban cores.</w:t>
      </w:r>
    </w:p>
    <w:p w14:paraId="370DEE11" w14:textId="3105C2DF" w:rsidR="00E741C1" w:rsidRPr="00912619" w:rsidRDefault="00912619" w:rsidP="0091261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12619">
        <w:rPr>
          <w:rFonts w:ascii="Times New Roman" w:hAnsi="Times New Roman" w:cs="Times New Roman"/>
        </w:rPr>
        <w:t>Structural vulnerability reduction is a necessary precondition for resilience-building, demanding coordinated multi-jurisdictional urban climate governance.</w:t>
      </w:r>
    </w:p>
    <w:sectPr w:rsidR="00E741C1" w:rsidRPr="00912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13B76"/>
    <w:multiLevelType w:val="hybridMultilevel"/>
    <w:tmpl w:val="C17C5BB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327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619"/>
    <w:rsid w:val="00405C2C"/>
    <w:rsid w:val="007D66E8"/>
    <w:rsid w:val="00912619"/>
    <w:rsid w:val="00E7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4CCD1"/>
  <w15:chartTrackingRefBased/>
  <w15:docId w15:val="{036CA2DF-64E6-034E-8F40-0D35621F8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261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6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61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61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61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61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61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61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61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126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126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1261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1261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1261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1261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1261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1261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1261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12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61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126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26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126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26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1261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126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1261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126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5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c1519</dc:creator>
  <cp:keywords/>
  <dc:description/>
  <cp:lastModifiedBy>c1519</cp:lastModifiedBy>
  <cp:revision>1</cp:revision>
  <dcterms:created xsi:type="dcterms:W3CDTF">2026-05-18T03:06:00Z</dcterms:created>
  <dcterms:modified xsi:type="dcterms:W3CDTF">2026-05-18T03:08:00Z</dcterms:modified>
</cp:coreProperties>
</file>