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12028" w14:textId="77777777" w:rsidR="007171F7" w:rsidRDefault="007171F7" w:rsidP="007171F7">
      <w:pPr>
        <w:widowControl/>
        <w:wordWrap w:val="0"/>
        <w:spacing w:before="120" w:after="240"/>
        <w:rPr>
          <w:rFonts w:ascii="Times New Roman" w:eastAsiaTheme="minorHAnsi" w:hAnsi="Times New Roman"/>
          <w:kern w:val="0"/>
          <w:sz w:val="24"/>
          <w:szCs w:val="22"/>
        </w:rPr>
      </w:pPr>
      <w:r>
        <w:rPr>
          <w:rFonts w:ascii="Times New Roman" w:eastAsiaTheme="minorHAnsi" w:hAnsi="Times New Roman"/>
          <w:noProof/>
          <w:kern w:val="0"/>
          <w:sz w:val="24"/>
          <w:szCs w:val="22"/>
          <w:lang w:eastAsia="en-US"/>
        </w:rPr>
        <w:drawing>
          <wp:inline distT="0" distB="0" distL="114300" distR="114300" wp14:anchorId="6157279F" wp14:editId="6797E5C9">
            <wp:extent cx="4959350" cy="3884930"/>
            <wp:effectExtent l="0" t="0" r="1905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9350" cy="388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B5275" w14:textId="77777777" w:rsidR="007171F7" w:rsidRDefault="007171F7" w:rsidP="007171F7">
      <w:pPr>
        <w:widowControl/>
        <w:wordWrap w:val="0"/>
        <w:spacing w:before="120" w:after="240"/>
        <w:rPr>
          <w:rFonts w:ascii="Times New Roman" w:eastAsiaTheme="minorHAnsi" w:hAnsi="Times New Roman"/>
          <w:kern w:val="0"/>
          <w:szCs w:val="20"/>
        </w:rPr>
      </w:pPr>
      <w:r>
        <w:rPr>
          <w:rFonts w:ascii="Times New Roman Bold" w:eastAsiaTheme="minorHAnsi" w:hAnsi="Times New Roman Bold" w:cs="Times New Roman Bold"/>
          <w:b/>
          <w:bCs/>
          <w:kern w:val="0"/>
          <w:szCs w:val="20"/>
        </w:rPr>
        <w:t xml:space="preserve">Supplementary Fig. 1 </w:t>
      </w:r>
      <w:r>
        <w:rPr>
          <w:rFonts w:ascii="Times New Roman" w:eastAsiaTheme="minorHAnsi" w:hAnsi="Times New Roman"/>
          <w:kern w:val="0"/>
          <w:szCs w:val="20"/>
        </w:rPr>
        <w:t>Receiver operating characteristic curves for single-marker discrimination predicting 5-year incident CMM risk. BRS4, behavioral risk score; PLS, physiological load score; BPRDI, behavioral physiological risk discordance index; CMM, cardiometabolic multimorbidity; AUC, area under the receiver operating characteristic curve.</w:t>
      </w:r>
    </w:p>
    <w:p w14:paraId="5A5FB1AE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panose1 w:val="02020803070505020304"/>
    <w:charset w:val="00"/>
    <w:family w:val="auto"/>
    <w:pitch w:val="default"/>
    <w:sig w:usb0="E0002AEF" w:usb1="C0007841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F7"/>
    <w:rsid w:val="000905F0"/>
    <w:rsid w:val="00112C91"/>
    <w:rsid w:val="00242B4F"/>
    <w:rsid w:val="00302F9E"/>
    <w:rsid w:val="00443B79"/>
    <w:rsid w:val="004E23CF"/>
    <w:rsid w:val="006D5216"/>
    <w:rsid w:val="007171F7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CD709"/>
  <w15:chartTrackingRefBased/>
  <w15:docId w15:val="{EF459174-5E01-4C7C-9A17-8F6DC948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1F7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71F7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1F7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1F7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1F7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1F7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1F7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1F7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1F7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1F7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1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1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1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1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1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1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1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1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1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1F7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17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1F7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17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1F7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171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1F7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171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1F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1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1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5</Lines>
  <Paragraphs>2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2026-06-25T10:53:00Z</dcterms:created>
  <dcterms:modified xsi:type="dcterms:W3CDTF">2026-06-25T10:53:00Z</dcterms:modified>
</cp:coreProperties>
</file>