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3FD" w:rsidRPr="00E90224" w:rsidRDefault="00037BE9" w:rsidP="00E203FD">
      <w:pPr>
        <w:jc w:val="left"/>
        <w:rPr>
          <w:rFonts w:ascii="Times New Roman" w:hAnsi="Times New Roman" w:cs="Times New Roman"/>
          <w:b/>
          <w:sz w:val="32"/>
          <w:szCs w:val="32"/>
        </w:rPr>
      </w:pPr>
      <w:r w:rsidRPr="0032387A">
        <w:rPr>
          <w:rFonts w:ascii="Times New Roman" w:hAnsi="Times New Roman" w:cs="Times New Roman"/>
          <w:b/>
          <w:sz w:val="32"/>
          <w:szCs w:val="32"/>
        </w:rPr>
        <w:t xml:space="preserve">5hmC and TET2 </w:t>
      </w:r>
      <w:proofErr w:type="spellStart"/>
      <w:r w:rsidRPr="0032387A">
        <w:rPr>
          <w:rFonts w:ascii="Times New Roman" w:hAnsi="Times New Roman" w:cs="Times New Roman"/>
          <w:b/>
          <w:sz w:val="32"/>
          <w:szCs w:val="32"/>
        </w:rPr>
        <w:t>Dysregulation</w:t>
      </w:r>
      <w:proofErr w:type="spellEnd"/>
      <w:r w:rsidRPr="0032387A">
        <w:rPr>
          <w:rFonts w:ascii="Times New Roman" w:hAnsi="Times New Roman" w:cs="Times New Roman"/>
          <w:b/>
          <w:sz w:val="32"/>
          <w:szCs w:val="32"/>
        </w:rPr>
        <w:t xml:space="preserve"> in Bladder Cancer: Diagnostic and Prognostic Implication</w:t>
      </w:r>
      <w:r>
        <w:rPr>
          <w:rFonts w:ascii="Times New Roman" w:hAnsi="Times New Roman" w:cs="Times New Roman"/>
          <w:b/>
          <w:sz w:val="32"/>
          <w:szCs w:val="32"/>
        </w:rPr>
        <w:t>s</w:t>
      </w:r>
    </w:p>
    <w:p w:rsidR="00E203FD" w:rsidRPr="00032678" w:rsidRDefault="00E203FD" w:rsidP="00E203FD">
      <w:pPr>
        <w:jc w:val="left"/>
        <w:rPr>
          <w:rFonts w:ascii="Times New Roman" w:hAnsi="Times New Roman" w:cs="Times New Roman"/>
          <w:b/>
          <w:sz w:val="24"/>
          <w:szCs w:val="24"/>
          <w:vertAlign w:val="superscript"/>
          <w:lang w:val="pl-PL"/>
        </w:rPr>
      </w:pPr>
      <w:r w:rsidRPr="00032678">
        <w:rPr>
          <w:rFonts w:ascii="Times New Roman" w:hAnsi="Times New Roman" w:cs="Times New Roman"/>
          <w:b/>
          <w:sz w:val="24"/>
          <w:szCs w:val="24"/>
          <w:lang w:val="pl-PL"/>
        </w:rPr>
        <w:t>Wiktoria Strasenburg</w:t>
      </w:r>
      <w:r w:rsidRPr="00032678">
        <w:rPr>
          <w:rFonts w:ascii="Times New Roman" w:hAnsi="Times New Roman" w:cs="Times New Roman"/>
          <w:b/>
          <w:sz w:val="24"/>
          <w:szCs w:val="24"/>
          <w:vertAlign w:val="superscript"/>
          <w:lang w:val="pl-PL"/>
        </w:rPr>
        <w:t>1*</w:t>
      </w:r>
      <w:r w:rsidRPr="00032678">
        <w:rPr>
          <w:rFonts w:ascii="Times New Roman" w:hAnsi="Times New Roman" w:cs="Times New Roman"/>
          <w:b/>
          <w:sz w:val="24"/>
          <w:szCs w:val="24"/>
          <w:lang w:val="pl-PL"/>
        </w:rPr>
        <w:t>, Jakub Jóźwicki</w:t>
      </w:r>
      <w:r w:rsidRPr="00032678">
        <w:rPr>
          <w:rFonts w:ascii="Times New Roman" w:hAnsi="Times New Roman" w:cs="Times New Roman"/>
          <w:b/>
          <w:sz w:val="24"/>
          <w:szCs w:val="24"/>
          <w:vertAlign w:val="superscript"/>
          <w:lang w:val="pl-PL"/>
        </w:rPr>
        <w:t>1</w:t>
      </w:r>
      <w:r w:rsidRPr="00032678">
        <w:rPr>
          <w:rFonts w:ascii="Times New Roman" w:hAnsi="Times New Roman" w:cs="Times New Roman"/>
          <w:b/>
          <w:sz w:val="24"/>
          <w:szCs w:val="24"/>
          <w:lang w:val="pl-PL"/>
        </w:rPr>
        <w:t>, Urszula Rogalla-Ładniak</w:t>
      </w:r>
      <w:r w:rsidRPr="00032678">
        <w:rPr>
          <w:rFonts w:ascii="Times New Roman" w:hAnsi="Times New Roman" w:cs="Times New Roman"/>
          <w:b/>
          <w:sz w:val="24"/>
          <w:szCs w:val="24"/>
          <w:vertAlign w:val="superscript"/>
          <w:lang w:val="pl-PL"/>
        </w:rPr>
        <w:t>2</w:t>
      </w:r>
      <w:r w:rsidRPr="00032678">
        <w:rPr>
          <w:rFonts w:ascii="Times New Roman" w:hAnsi="Times New Roman" w:cs="Times New Roman"/>
          <w:b/>
          <w:sz w:val="24"/>
          <w:szCs w:val="24"/>
          <w:lang w:val="pl-PL"/>
        </w:rPr>
        <w:t>, Daria Piątkowska</w:t>
      </w:r>
      <w:r w:rsidRPr="00032678">
        <w:rPr>
          <w:rFonts w:ascii="Times New Roman" w:hAnsi="Times New Roman" w:cs="Times New Roman"/>
          <w:b/>
          <w:sz w:val="24"/>
          <w:szCs w:val="24"/>
          <w:vertAlign w:val="superscript"/>
          <w:lang w:val="pl-PL"/>
        </w:rPr>
        <w:t>1</w:t>
      </w:r>
      <w:r w:rsidRPr="00032678">
        <w:rPr>
          <w:rFonts w:ascii="Times New Roman" w:hAnsi="Times New Roman" w:cs="Times New Roman"/>
          <w:b/>
          <w:sz w:val="24"/>
          <w:szCs w:val="24"/>
          <w:lang w:val="pl-PL"/>
        </w:rPr>
        <w:t>, Jakub Wojtasik</w:t>
      </w:r>
      <w:r w:rsidRPr="00032678">
        <w:rPr>
          <w:rFonts w:ascii="Times New Roman" w:hAnsi="Times New Roman" w:cs="Times New Roman"/>
          <w:b/>
          <w:sz w:val="24"/>
          <w:szCs w:val="24"/>
          <w:vertAlign w:val="superscript"/>
          <w:lang w:val="pl-PL"/>
        </w:rPr>
        <w:t>3</w:t>
      </w:r>
      <w:r w:rsidRPr="00032678">
        <w:rPr>
          <w:rFonts w:ascii="Times New Roman" w:hAnsi="Times New Roman" w:cs="Times New Roman"/>
          <w:b/>
          <w:sz w:val="24"/>
          <w:szCs w:val="24"/>
          <w:lang w:val="pl-PL"/>
        </w:rPr>
        <w:t>, Dariusz Grzanka</w:t>
      </w:r>
      <w:r w:rsidRPr="00032678">
        <w:rPr>
          <w:rFonts w:ascii="Times New Roman" w:hAnsi="Times New Roman" w:cs="Times New Roman"/>
          <w:b/>
          <w:sz w:val="24"/>
          <w:szCs w:val="24"/>
          <w:vertAlign w:val="superscript"/>
          <w:lang w:val="pl-PL"/>
        </w:rPr>
        <w:t>1</w:t>
      </w:r>
    </w:p>
    <w:p w:rsidR="00A0210B" w:rsidRDefault="00A0210B"/>
    <w:tbl>
      <w:tblPr>
        <w:tblW w:w="0" w:type="auto"/>
        <w:tblInd w:w="60" w:type="dxa"/>
        <w:tblCellMar>
          <w:left w:w="70" w:type="dxa"/>
          <w:right w:w="70" w:type="dxa"/>
        </w:tblCellMar>
        <w:tblLook w:val="04A0"/>
      </w:tblPr>
      <w:tblGrid>
        <w:gridCol w:w="914"/>
        <w:gridCol w:w="1200"/>
        <w:gridCol w:w="1354"/>
        <w:gridCol w:w="1387"/>
        <w:gridCol w:w="1205"/>
        <w:gridCol w:w="1376"/>
        <w:gridCol w:w="1716"/>
      </w:tblGrid>
      <w:tr w:rsidR="00E203FD" w:rsidRPr="00E203FD" w:rsidTr="00E203FD">
        <w:trPr>
          <w:trHeight w:val="6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l-PL" w:eastAsia="pl-PL"/>
              </w:rPr>
            </w:pPr>
            <w:proofErr w:type="spellStart"/>
            <w:r w:rsidRPr="00E203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l-PL" w:eastAsia="pl-PL"/>
              </w:rPr>
              <w:t>Antigen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l-PL" w:eastAsia="pl-PL"/>
              </w:rPr>
            </w:pPr>
            <w:r w:rsidRPr="00E203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l-PL" w:eastAsia="pl-PL"/>
              </w:rPr>
              <w:t xml:space="preserve">Host and </w:t>
            </w:r>
            <w:proofErr w:type="spellStart"/>
            <w:r w:rsidRPr="00E203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l-PL" w:eastAsia="pl-PL"/>
              </w:rPr>
              <w:t>Clonality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l-PL" w:eastAsia="pl-PL"/>
              </w:rPr>
            </w:pPr>
            <w:r w:rsidRPr="00E203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l-PL" w:eastAsia="pl-PL"/>
              </w:rPr>
              <w:t>Clone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l-PL" w:eastAsia="pl-PL"/>
              </w:rPr>
            </w:pPr>
            <w:proofErr w:type="spellStart"/>
            <w:r w:rsidRPr="00E203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l-PL" w:eastAsia="pl-PL"/>
              </w:rPr>
              <w:t>Vendor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l-PL" w:eastAsia="pl-PL"/>
              </w:rPr>
            </w:pPr>
            <w:proofErr w:type="spellStart"/>
            <w:r w:rsidRPr="00E203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l-PL" w:eastAsia="pl-PL"/>
              </w:rPr>
              <w:t>Dilution</w:t>
            </w:r>
            <w:proofErr w:type="spellEnd"/>
            <w:r w:rsidRPr="00E203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l-PL" w:eastAsia="pl-PL"/>
              </w:rPr>
              <w:t xml:space="preserve">, </w:t>
            </w:r>
            <w:proofErr w:type="spellStart"/>
            <w:r w:rsidRPr="00E203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l-PL" w:eastAsia="pl-PL"/>
              </w:rPr>
              <w:t>Incubation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l-PL" w:eastAsia="pl-PL"/>
              </w:rPr>
            </w:pPr>
            <w:proofErr w:type="spellStart"/>
            <w:r w:rsidRPr="00E203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l-PL" w:eastAsia="pl-PL"/>
              </w:rPr>
              <w:t>Positive</w:t>
            </w:r>
            <w:proofErr w:type="spellEnd"/>
            <w:r w:rsidRPr="00E203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l-PL" w:eastAsia="pl-PL"/>
              </w:rPr>
              <w:t xml:space="preserve"> controls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l-PL" w:eastAsia="pl-PL"/>
              </w:rPr>
            </w:pPr>
            <w:proofErr w:type="spellStart"/>
            <w:r w:rsidRPr="00E203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l-PL" w:eastAsia="pl-PL"/>
              </w:rPr>
              <w:t>Procedure</w:t>
            </w:r>
            <w:proofErr w:type="spellEnd"/>
            <w:r w:rsidRPr="00E203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l-PL" w:eastAsia="pl-PL"/>
              </w:rPr>
              <w:t xml:space="preserve">, </w:t>
            </w:r>
            <w:proofErr w:type="spellStart"/>
            <w:r w:rsidRPr="00E203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l-PL" w:eastAsia="pl-PL"/>
              </w:rPr>
              <w:t>Visualisation</w:t>
            </w:r>
            <w:proofErr w:type="spellEnd"/>
          </w:p>
        </w:tc>
      </w:tr>
      <w:tr w:rsidR="00E203FD" w:rsidRPr="00E203FD" w:rsidTr="00E203FD">
        <w:trPr>
          <w:trHeight w:val="180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5hmC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Rabbit, </w:t>
            </w: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Polyclonal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#39769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Active</w:t>
            </w:r>
            <w:proofErr w:type="spellEnd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Motif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1:1000, </w:t>
            </w:r>
          </w:p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32 min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Testis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High </w:t>
            </w: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pH</w:t>
            </w:r>
            <w:proofErr w:type="spellEnd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Antigen</w:t>
            </w:r>
            <w:proofErr w:type="spellEnd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Retrieval</w:t>
            </w:r>
            <w:proofErr w:type="spellEnd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CC1,</w:t>
            </w:r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br/>
            </w: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ultraView</w:t>
            </w:r>
            <w:proofErr w:type="spellEnd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Universal DAB </w:t>
            </w: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Detection</w:t>
            </w:r>
            <w:proofErr w:type="spellEnd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Kit  </w:t>
            </w: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Hematoxylin</w:t>
            </w:r>
            <w:proofErr w:type="spellEnd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II</w:t>
            </w:r>
          </w:p>
        </w:tc>
      </w:tr>
      <w:tr w:rsidR="00E203FD" w:rsidRPr="00E203FD" w:rsidTr="00E203FD">
        <w:trPr>
          <w:trHeight w:val="150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TET2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Rabbit, </w:t>
            </w: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Polyclonal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GTX124205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GeneTex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1:100, </w:t>
            </w:r>
          </w:p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32 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Lymph</w:t>
            </w:r>
            <w:proofErr w:type="spellEnd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node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High </w:t>
            </w: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pH</w:t>
            </w:r>
            <w:proofErr w:type="spellEnd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Antigen</w:t>
            </w:r>
            <w:proofErr w:type="spellEnd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Retrieval</w:t>
            </w:r>
            <w:proofErr w:type="spellEnd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CC1, </w:t>
            </w: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ultraView</w:t>
            </w:r>
            <w:proofErr w:type="spellEnd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Universal DAB </w:t>
            </w: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Detection</w:t>
            </w:r>
            <w:proofErr w:type="spellEnd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Kit , </w:t>
            </w: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Hematoxylin</w:t>
            </w:r>
            <w:proofErr w:type="spellEnd"/>
            <w:r w:rsidRPr="00E20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II</w:t>
            </w:r>
          </w:p>
        </w:tc>
      </w:tr>
    </w:tbl>
    <w:p w:rsidR="00E203FD" w:rsidRDefault="00E203FD" w:rsidP="00E203FD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E203FD">
        <w:rPr>
          <w:rFonts w:ascii="Times New Roman" w:hAnsi="Times New Roman" w:cs="Times New Roman"/>
          <w:b/>
          <w:sz w:val="24"/>
          <w:szCs w:val="24"/>
        </w:rPr>
        <w:t>Table S1.</w:t>
      </w:r>
      <w:r w:rsidRPr="00E203FD">
        <w:rPr>
          <w:rFonts w:ascii="Times New Roman" w:hAnsi="Times New Roman" w:cs="Times New Roman"/>
          <w:sz w:val="24"/>
          <w:szCs w:val="24"/>
        </w:rPr>
        <w:t xml:space="preserve"> Detailed information about antibodies and </w:t>
      </w:r>
      <w:proofErr w:type="spellStart"/>
      <w:r w:rsidRPr="00E203FD">
        <w:rPr>
          <w:rFonts w:ascii="Times New Roman" w:hAnsi="Times New Roman" w:cs="Times New Roman"/>
          <w:sz w:val="24"/>
          <w:szCs w:val="24"/>
        </w:rPr>
        <w:t>immunohistochemical</w:t>
      </w:r>
      <w:proofErr w:type="spellEnd"/>
      <w:r w:rsidRPr="00E203FD">
        <w:rPr>
          <w:rFonts w:ascii="Times New Roman" w:hAnsi="Times New Roman" w:cs="Times New Roman"/>
          <w:sz w:val="24"/>
          <w:szCs w:val="24"/>
        </w:rPr>
        <w:t xml:space="preserve"> protocols.</w:t>
      </w:r>
    </w:p>
    <w:p w:rsidR="00E203FD" w:rsidRDefault="00E203FD" w:rsidP="00E203FD">
      <w:pPr>
        <w:spacing w:after="20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0" w:type="dxa"/>
        <w:tblCellMar>
          <w:left w:w="70" w:type="dxa"/>
          <w:right w:w="70" w:type="dxa"/>
        </w:tblCellMar>
        <w:tblLook w:val="04A0"/>
      </w:tblPr>
      <w:tblGrid>
        <w:gridCol w:w="898"/>
        <w:gridCol w:w="3789"/>
        <w:gridCol w:w="3679"/>
      </w:tblGrid>
      <w:tr w:rsidR="00E203FD" w:rsidRPr="00E203FD" w:rsidTr="00E203FD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</w:pP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  <w:t>Gene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</w:pP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  <w:t>Forward</w:t>
            </w:r>
            <w:proofErr w:type="spellEnd"/>
            <w:r w:rsidRPr="00E203FD"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  <w:t xml:space="preserve"> </w:t>
            </w: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  <w:t>primer</w:t>
            </w:r>
            <w:proofErr w:type="spellEnd"/>
            <w:r w:rsidRPr="00E203FD"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  <w:t xml:space="preserve"> </w:t>
            </w: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  <w:t>sequence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</w:pP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  <w:t>Reverse</w:t>
            </w:r>
            <w:proofErr w:type="spellEnd"/>
            <w:r w:rsidRPr="00E203FD"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  <w:t xml:space="preserve"> </w:t>
            </w: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  <w:t>primer</w:t>
            </w:r>
            <w:proofErr w:type="spellEnd"/>
            <w:r w:rsidRPr="00E203FD"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  <w:t xml:space="preserve"> </w:t>
            </w:r>
            <w:proofErr w:type="spellStart"/>
            <w:r w:rsidRPr="00E203FD"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  <w:t>sequence</w:t>
            </w:r>
            <w:proofErr w:type="spellEnd"/>
          </w:p>
        </w:tc>
      </w:tr>
      <w:tr w:rsidR="00E203FD" w:rsidRPr="00E203FD" w:rsidTr="00E203FD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</w:pPr>
            <w:r w:rsidRPr="00E203FD"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  <w:t>TET2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3FD" w:rsidRPr="00E203FD" w:rsidRDefault="00E203FD" w:rsidP="00E203F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</w:pPr>
            <w:r w:rsidRPr="00E203FD"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  <w:t>5' CCAACCAAAAGAACAGCTGC 3'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3FD" w:rsidRPr="00E203FD" w:rsidRDefault="00E203FD" w:rsidP="00E203F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</w:pPr>
            <w:r w:rsidRPr="00E203FD"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  <w:t>5' CTGCCACATTAGGACCTGCT 3'</w:t>
            </w:r>
          </w:p>
        </w:tc>
      </w:tr>
      <w:tr w:rsidR="00E203FD" w:rsidRPr="00E203FD" w:rsidTr="00E203FD">
        <w:trPr>
          <w:trHeight w:val="27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03FD" w:rsidRPr="00E203FD" w:rsidRDefault="00E203FD" w:rsidP="00E203F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</w:pPr>
            <w:r w:rsidRPr="00E203FD"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  <w:t>GAPDH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3FD" w:rsidRPr="00E203FD" w:rsidRDefault="00E203FD" w:rsidP="00E203F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</w:pPr>
            <w:r w:rsidRPr="00E203FD"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  <w:t>5' GTGGTCTCCTCTGACTTCAACA 3'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03FD" w:rsidRPr="00E203FD" w:rsidRDefault="00E203FD" w:rsidP="00E203F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</w:pPr>
            <w:r w:rsidRPr="00E203FD">
              <w:rPr>
                <w:rFonts w:ascii="Times New Roman" w:eastAsia="Times New Roman" w:hAnsi="Times New Roman" w:cs="Times New Roman"/>
                <w:color w:val="000000"/>
                <w:lang w:val="pl-PL" w:eastAsia="pl-PL"/>
              </w:rPr>
              <w:t>5' CTCTTCCTCTTGTGCTCTTGCT 3'</w:t>
            </w:r>
          </w:p>
        </w:tc>
      </w:tr>
    </w:tbl>
    <w:p w:rsidR="00E203FD" w:rsidRPr="00E203FD" w:rsidRDefault="00E203FD" w:rsidP="00E203FD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E203FD">
        <w:rPr>
          <w:rFonts w:ascii="Times New Roman" w:hAnsi="Times New Roman" w:cs="Times New Roman"/>
          <w:b/>
          <w:sz w:val="24"/>
          <w:szCs w:val="24"/>
        </w:rPr>
        <w:t xml:space="preserve">Table S2. </w:t>
      </w:r>
      <w:r w:rsidRPr="00E203FD">
        <w:rPr>
          <w:rFonts w:ascii="Times New Roman" w:hAnsi="Times New Roman" w:cs="Times New Roman"/>
          <w:sz w:val="24"/>
          <w:szCs w:val="24"/>
        </w:rPr>
        <w:t>Sequences of primers used for TET2 target gene and GAPDH reference gene</w:t>
      </w:r>
    </w:p>
    <w:p w:rsidR="00E203FD" w:rsidRDefault="00E203FD" w:rsidP="00E203FD">
      <w:pPr>
        <w:keepNext/>
      </w:pPr>
      <w:r>
        <w:rPr>
          <w:noProof/>
          <w:lang w:val="pl-PL" w:eastAsia="pl-PL"/>
        </w:rPr>
        <w:lastRenderedPageBreak/>
        <w:drawing>
          <wp:inline distT="0" distB="0" distL="0" distR="0">
            <wp:extent cx="5760720" cy="4032250"/>
            <wp:effectExtent l="19050" t="0" r="0" b="0"/>
            <wp:docPr id="2" name="Obraz 1" descr="5hmC i TET2 badana i kontrola wykresy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hmC i TET2 badana i kontrola wykresy (1)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3FD" w:rsidRDefault="00E203FD" w:rsidP="00E203FD">
      <w:pPr>
        <w:pStyle w:val="Legenda"/>
        <w:jc w:val="left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E203FD">
        <w:rPr>
          <w:rFonts w:ascii="Times New Roman" w:hAnsi="Times New Roman" w:cs="Times New Roman"/>
          <w:color w:val="000000" w:themeColor="text1"/>
          <w:sz w:val="24"/>
          <w:szCs w:val="24"/>
        </w:rPr>
        <w:t>Figure S</w:t>
      </w:r>
      <w:r w:rsidR="0099487A" w:rsidRPr="00E203FD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E203FD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SEQ Figure_S \* ARABIC </w:instrText>
      </w:r>
      <w:r w:rsidR="0099487A" w:rsidRPr="00E203FD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E203F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1</w:t>
      </w:r>
      <w:r w:rsidR="0099487A" w:rsidRPr="00E203FD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E203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E203F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Representative </w:t>
      </w:r>
      <w:proofErr w:type="spellStart"/>
      <w:r w:rsidRPr="00E203F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immunohistochemical</w:t>
      </w:r>
      <w:proofErr w:type="spellEnd"/>
      <w:r w:rsidRPr="00E203F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staining of 5hmC and TET2 in BLCA and adjacent non-tumour tissues (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original magnification, ×40). (a</w:t>
      </w:r>
      <w:r w:rsidRPr="00E203F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weak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5hmC staining in BLCA tissue; (b</w:t>
      </w:r>
      <w:r w:rsidRPr="00E203F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) strong 5hmC staining i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n adjacent non-tumour tissue; (c</w:t>
      </w:r>
      <w:r w:rsidRPr="00E203F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) weak </w:t>
      </w: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TET2 staining in BLCA tissue; (d</w:t>
      </w:r>
      <w:r w:rsidRPr="00E203F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) strong TET2 staining in adjacent non-tumour tissue.</w:t>
      </w:r>
    </w:p>
    <w:p w:rsidR="00D538F1" w:rsidRDefault="00D538F1" w:rsidP="00D538F1"/>
    <w:tbl>
      <w:tblPr>
        <w:tblW w:w="9940" w:type="dxa"/>
        <w:tblInd w:w="-429" w:type="dxa"/>
        <w:tblCellMar>
          <w:left w:w="70" w:type="dxa"/>
          <w:right w:w="70" w:type="dxa"/>
        </w:tblCellMar>
        <w:tblLook w:val="04A0"/>
      </w:tblPr>
      <w:tblGrid>
        <w:gridCol w:w="2200"/>
        <w:gridCol w:w="754"/>
        <w:gridCol w:w="2207"/>
        <w:gridCol w:w="1099"/>
        <w:gridCol w:w="806"/>
        <w:gridCol w:w="1698"/>
        <w:gridCol w:w="1176"/>
      </w:tblGrid>
      <w:tr w:rsidR="00D538F1" w:rsidRPr="00D14DDA" w:rsidTr="00C4730A">
        <w:trPr>
          <w:trHeight w:val="624"/>
        </w:trPr>
        <w:tc>
          <w:tcPr>
            <w:tcW w:w="2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proofErr w:type="spellStart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Variable</w:t>
            </w:r>
            <w:proofErr w:type="spellEnd"/>
          </w:p>
        </w:tc>
        <w:tc>
          <w:tcPr>
            <w:tcW w:w="40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proofErr w:type="spellStart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Univariate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analysis</w:t>
            </w:r>
            <w:proofErr w:type="spellEnd"/>
          </w:p>
        </w:tc>
        <w:tc>
          <w:tcPr>
            <w:tcW w:w="368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proofErr w:type="spellStart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Multivariate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analysis</w:t>
            </w:r>
            <w:proofErr w:type="spellEnd"/>
          </w:p>
        </w:tc>
      </w:tr>
      <w:tr w:rsidR="00D538F1" w:rsidRPr="00D14DDA" w:rsidTr="00C4730A">
        <w:trPr>
          <w:trHeight w:val="324"/>
        </w:trPr>
        <w:tc>
          <w:tcPr>
            <w:tcW w:w="2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HR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95%CI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p </w:t>
            </w:r>
            <w:proofErr w:type="spellStart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value</w:t>
            </w:r>
            <w:proofErr w:type="spellEnd"/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HR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95% CI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p </w:t>
            </w:r>
            <w:proofErr w:type="spellStart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value</w:t>
            </w:r>
            <w:proofErr w:type="spellEnd"/>
          </w:p>
        </w:tc>
      </w:tr>
      <w:tr w:rsidR="00D538F1" w:rsidRPr="00D14DDA" w:rsidTr="00C4730A">
        <w:trPr>
          <w:trHeight w:val="312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TET2 (</w:t>
            </w:r>
            <w:proofErr w:type="spellStart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low</w:t>
            </w:r>
            <w:proofErr w:type="spellEnd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vs</w:t>
            </w:r>
            <w:proofErr w:type="spellEnd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r w:rsidRPr="00D14D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>high</w:t>
            </w: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0.786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0.579-1.068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0.1239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0.858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0.619-1.187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0.3543</w:t>
            </w:r>
          </w:p>
        </w:tc>
      </w:tr>
      <w:tr w:rsidR="00D538F1" w:rsidRPr="00D14DDA" w:rsidTr="00C4730A">
        <w:trPr>
          <w:trHeight w:val="624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proofErr w:type="spellStart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Gender</w:t>
            </w:r>
            <w:proofErr w:type="spellEnd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(</w:t>
            </w:r>
            <w:proofErr w:type="spellStart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female</w:t>
            </w:r>
            <w:proofErr w:type="spellEnd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vs</w:t>
            </w:r>
            <w:proofErr w:type="spellEnd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D14D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>male</w:t>
            </w:r>
            <w:proofErr w:type="spellEnd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0.887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0.639-1.231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0.4720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0.863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0.609-1.225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0.4097</w:t>
            </w:r>
          </w:p>
        </w:tc>
      </w:tr>
      <w:tr w:rsidR="00D538F1" w:rsidRPr="00D14DDA" w:rsidTr="00C4730A">
        <w:trPr>
          <w:trHeight w:val="312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proofErr w:type="spellStart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Age</w:t>
            </w:r>
            <w:proofErr w:type="spellEnd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≤60 </w:t>
            </w:r>
            <w:proofErr w:type="spellStart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vs</w:t>
            </w:r>
            <w:proofErr w:type="spellEnd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r w:rsidRPr="00D14D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>&gt; 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1.911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1.297-2.817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>0.0011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1.818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1.191-2.777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>0.0057</w:t>
            </w:r>
          </w:p>
        </w:tc>
      </w:tr>
      <w:tr w:rsidR="00D538F1" w:rsidRPr="00D14DDA" w:rsidTr="00C4730A">
        <w:trPr>
          <w:trHeight w:val="624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38F1" w:rsidRPr="005757E3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57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pT</w:t>
            </w:r>
            <w:proofErr w:type="spellEnd"/>
            <w:r w:rsidRPr="0057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status pTa-pT1 </w:t>
            </w:r>
            <w:proofErr w:type="spellStart"/>
            <w:r w:rsidRPr="0057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vs</w:t>
            </w:r>
            <w:proofErr w:type="spellEnd"/>
            <w:r w:rsidRPr="0057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pT2-pT4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5757E3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7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38F1" w:rsidRPr="005757E3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7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5757E3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757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5757E3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7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5757E3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7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5757E3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75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538F1" w:rsidRPr="00D14DDA" w:rsidTr="00C4730A">
        <w:trPr>
          <w:trHeight w:val="624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proofErr w:type="spellStart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pN</w:t>
            </w:r>
            <w:proofErr w:type="spellEnd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status pN0 </w:t>
            </w:r>
            <w:proofErr w:type="spellStart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vs</w:t>
            </w:r>
            <w:proofErr w:type="spellEnd"/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 xml:space="preserve"> </w:t>
            </w:r>
            <w:proofErr w:type="spellStart"/>
            <w:r w:rsidRPr="00D14D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>pN</w:t>
            </w:r>
            <w:proofErr w:type="spellEnd"/>
            <w:r w:rsidRPr="00D14D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>+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2.289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1.668-3.141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>&lt;0.0001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2.248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pl-PL"/>
              </w:rPr>
              <w:t>1.636-3.088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D14DDA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l-PL" w:eastAsia="pl-PL"/>
              </w:rPr>
            </w:pPr>
            <w:r w:rsidRPr="00D14D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l-PL" w:eastAsia="pl-PL"/>
              </w:rPr>
              <w:t>&lt;0.0001</w:t>
            </w:r>
          </w:p>
        </w:tc>
      </w:tr>
    </w:tbl>
    <w:p w:rsidR="00D538F1" w:rsidRPr="00D14DDA" w:rsidRDefault="00D538F1" w:rsidP="00D538F1">
      <w:pPr>
        <w:ind w:left="-284"/>
        <w:rPr>
          <w:rFonts w:ascii="Times New Roman" w:hAnsi="Times New Roman" w:cs="Times New Roman"/>
          <w:sz w:val="24"/>
          <w:szCs w:val="24"/>
        </w:rPr>
      </w:pPr>
      <w:r w:rsidRPr="00D538F1">
        <w:rPr>
          <w:rFonts w:ascii="Times New Roman" w:hAnsi="Times New Roman" w:cs="Times New Roman"/>
          <w:b/>
          <w:sz w:val="24"/>
          <w:szCs w:val="24"/>
        </w:rPr>
        <w:t>Table S3.</w:t>
      </w:r>
      <w:r w:rsidRPr="00D14D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4DDA">
        <w:rPr>
          <w:rFonts w:ascii="Times New Roman" w:hAnsi="Times New Roman" w:cs="Times New Roman"/>
          <w:sz w:val="24"/>
          <w:szCs w:val="24"/>
        </w:rPr>
        <w:t>Univariate</w:t>
      </w:r>
      <w:proofErr w:type="spellEnd"/>
      <w:r w:rsidRPr="00D14DDA">
        <w:rPr>
          <w:rFonts w:ascii="Times New Roman" w:hAnsi="Times New Roman" w:cs="Times New Roman"/>
          <w:sz w:val="24"/>
          <w:szCs w:val="24"/>
        </w:rPr>
        <w:t xml:space="preserve"> and multivariate Cox proportional hazards models for overall survival in BLCA patients from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D14DDA">
        <w:rPr>
          <w:rFonts w:ascii="Times New Roman" w:hAnsi="Times New Roman" w:cs="Times New Roman"/>
          <w:sz w:val="24"/>
          <w:szCs w:val="24"/>
        </w:rPr>
        <w:t>TCGA cohort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137DA">
        <w:rPr>
          <w:rFonts w:ascii="Times New Roman" w:hAnsi="Times New Roman" w:cs="Times New Roman"/>
          <w:sz w:val="24"/>
          <w:szCs w:val="24"/>
        </w:rPr>
        <w:t>Hazard ratios (HRs) with 95% confidenc</w:t>
      </w:r>
      <w:r>
        <w:rPr>
          <w:rFonts w:ascii="Times New Roman" w:hAnsi="Times New Roman" w:cs="Times New Roman"/>
          <w:sz w:val="24"/>
          <w:szCs w:val="24"/>
        </w:rPr>
        <w:t xml:space="preserve">e intervals (CIs) are presented. </w:t>
      </w:r>
      <w:r w:rsidRPr="003137DA">
        <w:rPr>
          <w:rStyle w:val="Uwydatnienie"/>
          <w:rFonts w:ascii="Times New Roman" w:hAnsi="Times New Roman" w:cs="Times New Roman"/>
          <w:sz w:val="24"/>
          <w:szCs w:val="24"/>
        </w:rPr>
        <w:t>P</w:t>
      </w:r>
      <w:r w:rsidRPr="003137DA">
        <w:rPr>
          <w:rFonts w:ascii="Times New Roman" w:hAnsi="Times New Roman" w:cs="Times New Roman"/>
          <w:sz w:val="24"/>
          <w:szCs w:val="24"/>
        </w:rPr>
        <w:t>&lt; 0.05 was considered statistically significant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3137DA">
        <w:rPr>
          <w:rFonts w:ascii="Times New Roman" w:hAnsi="Times New Roman" w:cs="Times New Roman"/>
          <w:sz w:val="24"/>
          <w:szCs w:val="24"/>
        </w:rPr>
        <w:t>significant values are shown in bold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38F1" w:rsidRDefault="00D538F1" w:rsidP="00D538F1"/>
    <w:tbl>
      <w:tblPr>
        <w:tblW w:w="9940" w:type="dxa"/>
        <w:tblInd w:w="-429" w:type="dxa"/>
        <w:tblCellMar>
          <w:left w:w="70" w:type="dxa"/>
          <w:right w:w="70" w:type="dxa"/>
        </w:tblCellMar>
        <w:tblLook w:val="04A0"/>
      </w:tblPr>
      <w:tblGrid>
        <w:gridCol w:w="2200"/>
        <w:gridCol w:w="779"/>
        <w:gridCol w:w="2280"/>
        <w:gridCol w:w="1001"/>
        <w:gridCol w:w="799"/>
        <w:gridCol w:w="1854"/>
        <w:gridCol w:w="1027"/>
      </w:tblGrid>
      <w:tr w:rsidR="00D538F1" w:rsidRPr="00F737C0" w:rsidTr="00C4730A">
        <w:trPr>
          <w:trHeight w:val="624"/>
        </w:trPr>
        <w:tc>
          <w:tcPr>
            <w:tcW w:w="2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Variable</w:t>
            </w:r>
          </w:p>
        </w:tc>
        <w:tc>
          <w:tcPr>
            <w:tcW w:w="40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Univariate</w:t>
            </w:r>
            <w:proofErr w:type="spellEnd"/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analysis</w:t>
            </w:r>
          </w:p>
        </w:tc>
        <w:tc>
          <w:tcPr>
            <w:tcW w:w="368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Multivariate analysis</w:t>
            </w:r>
          </w:p>
        </w:tc>
      </w:tr>
      <w:tr w:rsidR="00D538F1" w:rsidRPr="00F737C0" w:rsidTr="00C4730A">
        <w:trPr>
          <w:trHeight w:val="324"/>
        </w:trPr>
        <w:tc>
          <w:tcPr>
            <w:tcW w:w="22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HR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95%CI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 value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HR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95% CI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 value</w:t>
            </w:r>
          </w:p>
        </w:tc>
      </w:tr>
      <w:tr w:rsidR="00D538F1" w:rsidRPr="00F737C0" w:rsidTr="00C4730A">
        <w:trPr>
          <w:trHeight w:val="312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TET2 (low </w:t>
            </w:r>
            <w:proofErr w:type="spellStart"/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vs</w:t>
            </w:r>
            <w:proofErr w:type="spellEnd"/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F737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high</w:t>
            </w: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0.118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0.023-0.602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0.010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0.784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0.142-4.331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0.780</w:t>
            </w:r>
          </w:p>
        </w:tc>
      </w:tr>
      <w:tr w:rsidR="00D538F1" w:rsidRPr="00F737C0" w:rsidTr="00C4730A">
        <w:trPr>
          <w:trHeight w:val="624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Gender (female </w:t>
            </w:r>
            <w:proofErr w:type="spellStart"/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vs</w:t>
            </w:r>
            <w:proofErr w:type="spellEnd"/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F737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male</w:t>
            </w: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1.323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0.451-3.884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0.610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1.612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0.421-6.171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0.486</w:t>
            </w:r>
          </w:p>
        </w:tc>
      </w:tr>
      <w:tr w:rsidR="00D538F1" w:rsidRPr="00F737C0" w:rsidTr="00C4730A">
        <w:trPr>
          <w:trHeight w:val="312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Age ≤60 </w:t>
            </w:r>
            <w:proofErr w:type="spellStart"/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vs</w:t>
            </w:r>
            <w:proofErr w:type="spellEnd"/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F737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&gt; 60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1.040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0.345-3.130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0.945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1.654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0.355-7.699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0.522</w:t>
            </w:r>
          </w:p>
        </w:tc>
      </w:tr>
      <w:tr w:rsidR="00D538F1" w:rsidRPr="00F737C0" w:rsidTr="00C4730A">
        <w:trPr>
          <w:trHeight w:val="624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pT</w:t>
            </w:r>
            <w:proofErr w:type="spellEnd"/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status pTa-pT1 </w:t>
            </w:r>
            <w:proofErr w:type="spellStart"/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vs</w:t>
            </w:r>
            <w:proofErr w:type="spellEnd"/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pT2-pT4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D538F1" w:rsidRPr="00F737C0" w:rsidTr="00C4730A">
        <w:trPr>
          <w:trHeight w:val="624"/>
        </w:trPr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pN</w:t>
            </w:r>
            <w:proofErr w:type="spellEnd"/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status pN0 </w:t>
            </w:r>
            <w:proofErr w:type="spellStart"/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vs</w:t>
            </w:r>
            <w:proofErr w:type="spellEnd"/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F737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pN</w:t>
            </w:r>
            <w:proofErr w:type="spellEnd"/>
            <w:r w:rsidRPr="00F737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4.259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0.905-20.046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0.067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3.295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0.617-17.591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38F1" w:rsidRPr="00F737C0" w:rsidRDefault="00D538F1" w:rsidP="00C4730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73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0.163</w:t>
            </w:r>
          </w:p>
        </w:tc>
      </w:tr>
    </w:tbl>
    <w:p w:rsidR="00D538F1" w:rsidRPr="00467125" w:rsidRDefault="00D538F1" w:rsidP="00D538F1">
      <w:pPr>
        <w:ind w:left="-284"/>
        <w:rPr>
          <w:rFonts w:ascii="Times New Roman" w:hAnsi="Times New Roman" w:cs="Times New Roman"/>
          <w:sz w:val="24"/>
          <w:szCs w:val="24"/>
        </w:rPr>
      </w:pPr>
      <w:r w:rsidRPr="00D538F1">
        <w:rPr>
          <w:rFonts w:ascii="Times New Roman" w:hAnsi="Times New Roman" w:cs="Times New Roman"/>
          <w:b/>
          <w:sz w:val="24"/>
          <w:szCs w:val="24"/>
        </w:rPr>
        <w:t>Table S4.</w:t>
      </w:r>
      <w:r w:rsidRPr="00F737C0">
        <w:rPr>
          <w:rFonts w:ascii="Times New Roman" w:hAnsi="Times New Roman" w:cs="Times New Roman"/>
          <w:sz w:val="24"/>
          <w:szCs w:val="24"/>
        </w:rPr>
        <w:t>Univariate and multivariate Cox proportional hazards models for overall survival in BLCA patients from the RT-</w:t>
      </w:r>
      <w:proofErr w:type="spellStart"/>
      <w:r w:rsidRPr="00F737C0">
        <w:rPr>
          <w:rFonts w:ascii="Times New Roman" w:hAnsi="Times New Roman" w:cs="Times New Roman"/>
          <w:sz w:val="24"/>
          <w:szCs w:val="24"/>
        </w:rPr>
        <w:t>qPCR</w:t>
      </w:r>
      <w:proofErr w:type="spellEnd"/>
      <w:r w:rsidRPr="00F737C0">
        <w:rPr>
          <w:rFonts w:ascii="Times New Roman" w:hAnsi="Times New Roman" w:cs="Times New Roman"/>
          <w:sz w:val="24"/>
          <w:szCs w:val="24"/>
        </w:rPr>
        <w:t xml:space="preserve"> cohort. Hazard ratios (HRs) with 95% confidence intervals (CIs) are presented. </w:t>
      </w:r>
      <w:r w:rsidRPr="00F737C0">
        <w:rPr>
          <w:rStyle w:val="Uwydatnienie"/>
          <w:rFonts w:ascii="Times New Roman" w:hAnsi="Times New Roman" w:cs="Times New Roman"/>
          <w:sz w:val="24"/>
          <w:szCs w:val="24"/>
        </w:rPr>
        <w:t>P</w:t>
      </w:r>
      <w:r w:rsidRPr="00F737C0">
        <w:rPr>
          <w:rFonts w:ascii="Times New Roman" w:hAnsi="Times New Roman" w:cs="Times New Roman"/>
          <w:sz w:val="24"/>
          <w:szCs w:val="24"/>
        </w:rPr>
        <w:t>&lt; 0.05 was considered statistically significant; significant values are shown in bold.</w:t>
      </w:r>
    </w:p>
    <w:p w:rsidR="00D538F1" w:rsidRPr="00D538F1" w:rsidRDefault="00D538F1" w:rsidP="00D538F1"/>
    <w:sectPr w:rsidR="00D538F1" w:rsidRPr="00D538F1" w:rsidSect="00A021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203FD"/>
    <w:rsid w:val="00037BE9"/>
    <w:rsid w:val="003E4E53"/>
    <w:rsid w:val="00430994"/>
    <w:rsid w:val="00457C88"/>
    <w:rsid w:val="004B16CF"/>
    <w:rsid w:val="004E70D4"/>
    <w:rsid w:val="005B16E9"/>
    <w:rsid w:val="006E53FD"/>
    <w:rsid w:val="007E0B64"/>
    <w:rsid w:val="00873CBD"/>
    <w:rsid w:val="0099487A"/>
    <w:rsid w:val="00A0210B"/>
    <w:rsid w:val="00A1629A"/>
    <w:rsid w:val="00C104B9"/>
    <w:rsid w:val="00C62DA2"/>
    <w:rsid w:val="00D538F1"/>
    <w:rsid w:val="00D755B5"/>
    <w:rsid w:val="00E01251"/>
    <w:rsid w:val="00E203FD"/>
    <w:rsid w:val="00FE6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284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3FD"/>
    <w:pPr>
      <w:ind w:left="0" w:firstLine="0"/>
      <w:jc w:val="both"/>
    </w:pPr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203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03FD"/>
    <w:rPr>
      <w:rFonts w:ascii="Tahoma" w:hAnsi="Tahoma" w:cs="Tahoma"/>
      <w:sz w:val="16"/>
      <w:szCs w:val="16"/>
      <w:lang w:val="en-GB"/>
    </w:rPr>
  </w:style>
  <w:style w:type="paragraph" w:styleId="Legenda">
    <w:name w:val="caption"/>
    <w:basedOn w:val="Normalny"/>
    <w:next w:val="Normalny"/>
    <w:uiPriority w:val="35"/>
    <w:unhideWhenUsed/>
    <w:qFormat/>
    <w:rsid w:val="00E203FD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538F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5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391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Wiktoria</dc:creator>
  <cp:lastModifiedBy>Wiktoria</cp:lastModifiedBy>
  <cp:revision>3</cp:revision>
  <dcterms:created xsi:type="dcterms:W3CDTF">2026-05-16T16:08:00Z</dcterms:created>
  <dcterms:modified xsi:type="dcterms:W3CDTF">2026-05-17T18:49:00Z</dcterms:modified>
</cp:coreProperties>
</file>