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72B63">
      <w:pPr>
        <w:keepNext w:val="0"/>
        <w:keepLines w:val="0"/>
        <w:widowControl/>
        <w:shd w:val="clear" w:color="auto" w:fill="FFFFFF"/>
        <w:spacing w:before="384" w:after="192" w:line="360" w:lineRule="atLeast"/>
        <w:jc w:val="both"/>
        <w:outlineLvl w:val="2"/>
        <w:rPr>
          <w:rFonts w:ascii="Times New Roman" w:hAnsi="Times New Roman" w:eastAsia="Segoe UI" w:cs="Times New Roman"/>
          <w:b/>
          <w:bCs/>
          <w:color w:val="0F1115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Segoe UI" w:cs="Times New Roman"/>
          <w:b/>
          <w:bCs/>
          <w:color w:val="0F1115"/>
          <w:kern w:val="2"/>
          <w:sz w:val="24"/>
          <w:szCs w:val="24"/>
          <w:shd w:val="clear" w:color="auto" w:fill="FFFFFF"/>
          <w:lang w:val="en-US" w:eastAsia="zh-CN" w:bidi="ar-SA"/>
        </w:rPr>
        <w:t>Supplementary Information</w:t>
      </w:r>
    </w:p>
    <w:p w14:paraId="6CDFB6B8">
      <w:pPr>
        <w:spacing w:line="360" w:lineRule="auto"/>
        <w:ind w:firstLine="420" w:firstLineChars="200"/>
        <w:rPr>
          <w:rFonts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</w:pPr>
      <w:bookmarkStart w:id="0" w:name="_Ref24895"/>
      <w:r>
        <w:rPr>
          <w:rFonts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  <w:t xml:space="preserve">The statistical significance and adequacy of the established quadratic models for SMX degradation in the ZnO/DBD and g-C₃N₄/DBD systems were evaluated by analysis of variance (ANOVA). The detailed ANOVA results are summarized in </w:t>
      </w:r>
      <w:r>
        <w:rPr>
          <w:rFonts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  <w:fldChar w:fldCharType="begin"/>
      </w:r>
      <w:r>
        <w:rPr>
          <w:rFonts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  <w:instrText xml:space="preserve"> REF _Ref705 \h </w:instrText>
      </w:r>
      <w:r>
        <w:rPr>
          <w:rFonts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  <w:fldChar w:fldCharType="separate"/>
      </w:r>
      <w:r>
        <w:t>Table S 1</w:t>
      </w:r>
      <w:r>
        <w:rPr>
          <w:rFonts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  <w:fldChar w:fldCharType="end"/>
      </w:r>
      <w:r>
        <w:rPr>
          <w:rFonts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  <w:t>. The fitted regression equations and response surface plots are provided in the main text as Eqs. (2) and (3) and Fig. 3, respectively.</w:t>
      </w:r>
    </w:p>
    <w:p w14:paraId="2F6E7B1D">
      <w:pPr>
        <w:pStyle w:val="3"/>
        <w:rPr>
          <w:rFonts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</w:pPr>
      <w:bookmarkStart w:id="1" w:name="_Ref705"/>
      <w:r>
        <w:t xml:space="preserve">Table S 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t>1</w:t>
      </w:r>
      <w:r>
        <w:fldChar w:fldCharType="end"/>
      </w:r>
      <w:bookmarkEnd w:id="1"/>
      <w:r>
        <w:rPr>
          <w:rFonts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  <w:t>. Analysis of variance (ANOVA) for the established quadratic models.</w:t>
      </w:r>
    </w:p>
    <w:bookmarkEnd w:id="0"/>
    <w:tbl>
      <w:tblPr>
        <w:tblStyle w:val="5"/>
        <w:tblW w:w="849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7"/>
        <w:gridCol w:w="1682"/>
        <w:gridCol w:w="1037"/>
        <w:gridCol w:w="1108"/>
        <w:gridCol w:w="1682"/>
        <w:gridCol w:w="1037"/>
        <w:gridCol w:w="902"/>
      </w:tblGrid>
      <w:tr w14:paraId="5D255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47" w:type="dxa"/>
            <w:tcBorders>
              <w:top w:val="single" w:color="auto" w:sz="12" w:space="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8D39A81">
            <w:pPr>
              <w:widowControl/>
              <w:snapToGrid w:val="0"/>
              <w:jc w:val="center"/>
              <w:rPr>
                <w:rFonts w:ascii="Times New Roman" w:hAnsi="Times New Roman" w:eastAsia="Segoe UI" w:cs="Times New Roman"/>
                <w:b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Source</w:t>
            </w:r>
          </w:p>
        </w:tc>
        <w:tc>
          <w:tcPr>
            <w:tcW w:w="1108" w:type="dxa"/>
            <w:gridSpan w:val="3"/>
            <w:tcBorders>
              <w:top w:val="single" w:color="auto" w:sz="1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DB4412">
            <w:pPr>
              <w:widowControl/>
              <w:snapToGrid w:val="0"/>
              <w:jc w:val="center"/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ZnO/DBD system</w:t>
            </w:r>
          </w:p>
        </w:tc>
        <w:tc>
          <w:tcPr>
            <w:tcW w:w="902" w:type="dxa"/>
            <w:gridSpan w:val="3"/>
            <w:tcBorders>
              <w:top w:val="single" w:color="auto" w:sz="1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CF2E06">
            <w:pPr>
              <w:widowControl/>
              <w:snapToGrid w:val="0"/>
              <w:jc w:val="center"/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g-C₃N₄/DBD system</w:t>
            </w:r>
          </w:p>
        </w:tc>
      </w:tr>
      <w:tr w14:paraId="22C75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47" w:type="dxa"/>
            <w:tcBorders>
              <w:bottom w:val="single" w:color="auto" w:sz="4" w:space="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115ED1">
            <w:pPr>
              <w:snapToGrid w:val="0"/>
              <w:jc w:val="center"/>
              <w:rPr>
                <w:rFonts w:ascii="Times New Roman" w:eastAsia="Segoe UI"/>
                <w:b/>
                <w:sz w:val="18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6F83D2">
            <w:pPr>
              <w:widowControl/>
              <w:snapToGrid w:val="0"/>
              <w:jc w:val="center"/>
              <w:rPr>
                <w:rFonts w:ascii="Times New Roman" w:hAnsi="Times New Roman" w:eastAsia="Segoe UI" w:cs="Times New Roman"/>
                <w:b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Sum of squares</w:t>
            </w:r>
          </w:p>
        </w:tc>
        <w:tc>
          <w:tcPr>
            <w:tcW w:w="1037" w:type="dxa"/>
            <w:tcBorders>
              <w:bottom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20C790">
            <w:pPr>
              <w:widowControl/>
              <w:snapToGrid w:val="0"/>
              <w:jc w:val="center"/>
              <w:rPr>
                <w:rFonts w:ascii="Times New Roman" w:hAnsi="Times New Roman" w:eastAsia="Segoe UI" w:cs="Times New Roman"/>
                <w:b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F-value</w:t>
            </w:r>
          </w:p>
        </w:tc>
        <w:tc>
          <w:tcPr>
            <w:tcW w:w="1108" w:type="dxa"/>
            <w:tcBorders>
              <w:bottom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94A298">
            <w:pPr>
              <w:widowControl/>
              <w:snapToGrid w:val="0"/>
              <w:jc w:val="center"/>
              <w:rPr>
                <w:rFonts w:ascii="Times New Roman" w:hAnsi="Times New Roman" w:eastAsia="Segoe UI" w:cs="Times New Roman"/>
                <w:b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p-value</w:t>
            </w:r>
          </w:p>
        </w:tc>
        <w:tc>
          <w:tcPr>
            <w:tcW w:w="1682" w:type="dxa"/>
            <w:tcBorders>
              <w:bottom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2EA5C5">
            <w:pPr>
              <w:widowControl/>
              <w:snapToGrid w:val="0"/>
              <w:jc w:val="center"/>
              <w:rPr>
                <w:rFonts w:ascii="Times New Roman" w:hAnsi="Times New Roman" w:eastAsia="Segoe UI" w:cs="Times New Roman"/>
                <w:b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Sum of squares</w:t>
            </w:r>
          </w:p>
        </w:tc>
        <w:tc>
          <w:tcPr>
            <w:tcW w:w="1037" w:type="dxa"/>
            <w:tcBorders>
              <w:bottom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9A367C">
            <w:pPr>
              <w:widowControl/>
              <w:snapToGrid w:val="0"/>
              <w:jc w:val="center"/>
              <w:rPr>
                <w:rFonts w:ascii="Times New Roman" w:hAnsi="Times New Roman" w:eastAsia="Segoe UI" w:cs="Times New Roman"/>
                <w:b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F-value</w:t>
            </w:r>
          </w:p>
        </w:tc>
        <w:tc>
          <w:tcPr>
            <w:tcW w:w="902" w:type="dxa"/>
            <w:tcBorders>
              <w:bottom w:val="single" w:color="auto" w:sz="4" w:space="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328E434">
            <w:pPr>
              <w:widowControl/>
              <w:snapToGrid w:val="0"/>
              <w:jc w:val="center"/>
              <w:rPr>
                <w:rFonts w:ascii="Times New Roman" w:hAnsi="Times New Roman" w:eastAsia="Segoe UI" w:cs="Times New Roman"/>
                <w:b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p-value</w:t>
            </w:r>
          </w:p>
        </w:tc>
      </w:tr>
      <w:tr w14:paraId="1C9AB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Borders>
              <w:top w:val="single" w:color="auto" w:sz="4" w:space="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95A779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Model</w:t>
            </w:r>
          </w:p>
        </w:tc>
        <w:tc>
          <w:tcPr>
            <w:tcW w:w="1682" w:type="dxa"/>
            <w:tcBorders>
              <w:top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46B5EF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850.75</w:t>
            </w:r>
          </w:p>
        </w:tc>
        <w:tc>
          <w:tcPr>
            <w:tcW w:w="1037" w:type="dxa"/>
            <w:tcBorders>
              <w:top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BE57A9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125.67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35ACF6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&lt; 0.0001</w:t>
            </w:r>
          </w:p>
        </w:tc>
        <w:tc>
          <w:tcPr>
            <w:tcW w:w="1682" w:type="dxa"/>
            <w:tcBorders>
              <w:top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39268B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920.41</w:t>
            </w:r>
          </w:p>
        </w:tc>
        <w:tc>
          <w:tcPr>
            <w:tcW w:w="1037" w:type="dxa"/>
            <w:tcBorders>
              <w:top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887FC9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158.92</w:t>
            </w:r>
          </w:p>
        </w:tc>
        <w:tc>
          <w:tcPr>
            <w:tcW w:w="902" w:type="dxa"/>
            <w:tcBorders>
              <w:top w:val="single" w:color="auto" w:sz="4" w:space="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89AFAF6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&lt; 0.0001</w:t>
            </w:r>
          </w:p>
        </w:tc>
      </w:tr>
      <w:tr w14:paraId="38542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593429B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X₁-Ureg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6F1DE2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61.34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DA3E65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45.23</w:t>
            </w: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98739F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9866D1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55.87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AD216A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38.76</w:t>
            </w: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E7AFE8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0.0003</w:t>
            </w:r>
          </w:p>
        </w:tc>
      </w:tr>
      <w:tr w14:paraId="5A9D4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05AAA88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X₂-Dosage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4CE8CB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43.52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8B6EDC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32.11</w:t>
            </w: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28FA30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0.0005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12EA0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75.44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A8687B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52.34</w:t>
            </w: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CBD0608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&lt; 0.0001</w:t>
            </w:r>
          </w:p>
        </w:tc>
      </w:tr>
      <w:tr w14:paraId="12EDF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EF18B6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X₃-Time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7D61D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120.21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1EEE70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88.67</w:t>
            </w: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AE123C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&lt; 0.0001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FE4F9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151.78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3FBB0D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105.23</w:t>
            </w: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FF7DD3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&lt; 0.0001</w:t>
            </w:r>
          </w:p>
        </w:tc>
      </w:tr>
      <w:tr w14:paraId="5A7D0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BFD9EB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X₁²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17F05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38.57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6B85D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28.45</w:t>
            </w: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FA0282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0.0008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3F3606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28.65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088DAC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19.87</w:t>
            </w: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A2FE550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0.0021</w:t>
            </w:r>
          </w:p>
        </w:tc>
      </w:tr>
      <w:tr w14:paraId="40565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C7A48D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X₂²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0072A9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70.98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3BBB80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52.34</w:t>
            </w: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94EBF3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&lt; 0.0001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2CA9F0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128.51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801BCE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89.12</w:t>
            </w: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DB7697B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&lt; 0.0001</w:t>
            </w:r>
          </w:p>
        </w:tc>
      </w:tr>
      <w:tr w14:paraId="63092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531AC5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X₃²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36C84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16.73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ADA43A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12.34</w:t>
            </w: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8248DE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0.0076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3259F7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12.63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B25988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8.76</w:t>
            </w: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B219976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0.0154</w:t>
            </w:r>
          </w:p>
        </w:tc>
      </w:tr>
      <w:tr w14:paraId="561DE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88F1A1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X₁X₂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AAA18D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4.35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048600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3.21</w:t>
            </w: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95776D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0.1052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13911A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B259B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8281E4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0.2987</w:t>
            </w:r>
          </w:p>
        </w:tc>
      </w:tr>
      <w:tr w14:paraId="3A34C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7FAEBD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X₁X₃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5F71C8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9CFFCA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1.89</w:t>
            </w: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0DC511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0.2014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4E1177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6.58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00D879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4.56</w:t>
            </w: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A7D766A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0.0632</w:t>
            </w:r>
          </w:p>
        </w:tc>
      </w:tr>
      <w:tr w14:paraId="719A4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5A68E4C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X₂X₃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ADB58E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25.02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1AC80C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18.45</w:t>
            </w: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796ECB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kern w:val="0"/>
                <w:sz w:val="18"/>
                <w:szCs w:val="18"/>
                <w:lang w:bidi="ar"/>
              </w:rPr>
              <w:t>0.0392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9C3418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4.97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874819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3.45</w:t>
            </w: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2E5B69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0.0954</w:t>
            </w:r>
          </w:p>
        </w:tc>
      </w:tr>
      <w:tr w14:paraId="63E27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C62D42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Residual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C3244D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12.23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548A51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4B384A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BB5A42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14.47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82549D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5F5058B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</w:tr>
      <w:tr w14:paraId="39CE8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24D8F4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Lack of fit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A3B646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7.89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9466AA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3339F6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0.1876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4360AB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8.12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E052D8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1.89</w:t>
            </w: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D6F052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0.2456</w:t>
            </w:r>
          </w:p>
        </w:tc>
      </w:tr>
      <w:tr w14:paraId="2D33C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2476A4B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Pure error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C58E38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4.34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EDE56A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870301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8AFBA0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6.35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E42729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9BEF116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</w:tr>
      <w:tr w14:paraId="465E9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60F684B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R²</w:t>
            </w: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20D2BA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0.9912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40D600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110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5EB330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1682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0D1592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0.9934</w:t>
            </w:r>
          </w:p>
        </w:tc>
        <w:tc>
          <w:tcPr>
            <w:tcW w:w="103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0179C7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902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4A984F6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</w:tr>
      <w:tr w14:paraId="29BFD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7" w:type="dxa"/>
            <w:tcBorders>
              <w:bottom w:val="single" w:color="auto" w:sz="12" w:space="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5ECA3AE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Adj. R²</w:t>
            </w:r>
          </w:p>
        </w:tc>
        <w:tc>
          <w:tcPr>
            <w:tcW w:w="1682" w:type="dxa"/>
            <w:tcBorders>
              <w:bottom w:val="single" w:color="auto" w:sz="1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502506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0.9841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A936B6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1108" w:type="dxa"/>
            <w:tcBorders>
              <w:bottom w:val="single" w:color="auto" w:sz="1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A4D4A8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1682" w:type="dxa"/>
            <w:tcBorders>
              <w:bottom w:val="single" w:color="auto" w:sz="1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7F2A7E">
            <w:pPr>
              <w:snapToGrid w:val="0"/>
              <w:jc w:val="center"/>
              <w:rPr>
                <w:rFonts w:ascii="Times New Roman" w:hAnsi="Times New Roman" w:eastAsia="Segoe UI" w:cs="Times New Roman"/>
                <w:sz w:val="18"/>
              </w:rPr>
            </w:pPr>
            <w:r>
              <w:rPr>
                <w:rFonts w:ascii="Times New Roman" w:hAnsi="Times New Roman" w:eastAsia="Segoe UI" w:cs="Times New Roman"/>
                <w:kern w:val="0"/>
                <w:sz w:val="18"/>
                <w:szCs w:val="18"/>
                <w:lang w:bidi="ar"/>
              </w:rPr>
              <w:t>0.9878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8DE81C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  <w:tc>
          <w:tcPr>
            <w:tcW w:w="902" w:type="dxa"/>
            <w:tcBorders>
              <w:bottom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70E46D2">
            <w:pPr>
              <w:snapToGrid w:val="0"/>
              <w:jc w:val="center"/>
              <w:rPr>
                <w:rFonts w:ascii="Times New Roman" w:eastAsia="Segoe UI"/>
                <w:sz w:val="18"/>
              </w:rPr>
            </w:pPr>
          </w:p>
        </w:tc>
      </w:tr>
    </w:tbl>
    <w:p w14:paraId="435D99FF">
      <w:pPr>
        <w:spacing w:line="360" w:lineRule="auto"/>
        <w:ind w:firstLine="420" w:firstLineChars="200"/>
        <w:rPr>
          <w:rFonts w:hint="eastAsia"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  <w:t>The transformation products formed during SMX degradation in the ZnO/DBD and g-C₃N₄</w:t>
      </w:r>
      <w:bookmarkStart w:id="2" w:name="_GoBack"/>
      <w:r>
        <w:rPr>
          <w:rFonts w:hint="eastAsia"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  <w:t xml:space="preserve">/DBD systems were tentatively assigned based on accurate mass information, molecular formula prediction, and comparison with reported SMX transformation pathways. The assignments were </w:t>
      </w:r>
      <w:bookmarkEnd w:id="2"/>
      <w:r>
        <w:rPr>
          <w:rFonts w:hint="eastAsia" w:ascii="Times New Roman" w:hAnsi="Times New Roman" w:eastAsia="Segoe UI" w:cs="Times New Roman"/>
          <w:color w:val="0F1115"/>
          <w:szCs w:val="21"/>
          <w:shd w:val="clear" w:color="auto" w:fill="FFFFFF"/>
          <w:lang w:val="en-US" w:eastAsia="zh-CN"/>
        </w:rPr>
        <w:t>used to support the degradation pathways proposed in Fig. 5 of the main text.</w:t>
      </w:r>
    </w:p>
    <w:p w14:paraId="57DA4ED1">
      <w:pPr>
        <w:pStyle w:val="3"/>
        <w:rPr>
          <w:rFonts w:hint="eastAsia" w:eastAsia="黑体"/>
          <w:lang w:val="en-US" w:eastAsia="zh-CN"/>
        </w:rPr>
      </w:pPr>
      <w:r>
        <w:t xml:space="preserve">Table S 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Tentatively assigned transformation products during SMX </w:t>
      </w:r>
      <w:r>
        <w:rPr>
          <w:rFonts w:hint="default" w:ascii="Times New Roman" w:hAnsi="Times New Roman" w:cs="Times New Roman"/>
        </w:rPr>
        <w:t>degradation in the ZnO/DBD and g-C₃N₄/DBD systems.</w:t>
      </w:r>
    </w:p>
    <w:tbl>
      <w:tblPr>
        <w:tblStyle w:val="5"/>
        <w:tblW w:w="849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8"/>
        <w:gridCol w:w="1479"/>
        <w:gridCol w:w="1480"/>
        <w:gridCol w:w="1726"/>
        <w:gridCol w:w="2932"/>
      </w:tblGrid>
      <w:tr w14:paraId="26945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68" w:type="dxa"/>
            <w:tcBorders>
              <w:top w:val="single" w:color="auto" w:sz="12" w:space="0"/>
              <w:bottom w:val="single" w:color="auto" w:sz="4" w:space="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27E9B48">
            <w:pPr>
              <w:snapToGrid w:val="0"/>
              <w:jc w:val="center"/>
              <w:rPr>
                <w:rFonts w:ascii="Times New Roman" w:hAnsi="Times New Roman" w:eastAsia="Segoe UI" w:cs="Times New Roman"/>
                <w:b/>
                <w:color w:val="0F111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b/>
                <w:color w:val="0F1115"/>
                <w:sz w:val="20"/>
                <w:szCs w:val="20"/>
                <w:shd w:val="clear" w:color="auto" w:fill="FFFFFF"/>
              </w:rPr>
              <w:t>Product</w:t>
            </w:r>
          </w:p>
        </w:tc>
        <w:tc>
          <w:tcPr>
            <w:tcW w:w="1427" w:type="dxa"/>
            <w:tcBorders>
              <w:top w:val="single" w:color="auto" w:sz="12" w:space="0"/>
              <w:bottom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89E4D0">
            <w:pPr>
              <w:snapToGrid w:val="0"/>
              <w:jc w:val="center"/>
              <w:rPr>
                <w:rFonts w:ascii="Times New Roman" w:hAnsi="Times New Roman" w:eastAsia="Segoe UI" w:cs="Times New Roman"/>
                <w:b/>
                <w:color w:val="0F111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b/>
                <w:color w:val="0F1115"/>
                <w:sz w:val="20"/>
                <w:szCs w:val="20"/>
                <w:shd w:val="clear" w:color="auto" w:fill="FFFFFF"/>
              </w:rPr>
              <w:t>System</w:t>
            </w:r>
          </w:p>
        </w:tc>
        <w:tc>
          <w:tcPr>
            <w:tcW w:w="1428" w:type="dxa"/>
            <w:tcBorders>
              <w:top w:val="single" w:color="auto" w:sz="12" w:space="0"/>
              <w:bottom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F6C546">
            <w:pPr>
              <w:snapToGrid w:val="0"/>
              <w:jc w:val="center"/>
              <w:rPr>
                <w:rFonts w:ascii="Times New Roman" w:hAnsi="Times New Roman" w:eastAsia="Segoe UI" w:cs="Times New Roman"/>
                <w:b/>
                <w:color w:val="0F111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b/>
                <w:color w:val="0F1115"/>
                <w:sz w:val="20"/>
                <w:szCs w:val="20"/>
                <w:shd w:val="clear" w:color="auto" w:fill="FFFFFF"/>
              </w:rPr>
              <w:t>[M+H]⁺(m/z)</w:t>
            </w:r>
          </w:p>
        </w:tc>
        <w:tc>
          <w:tcPr>
            <w:tcW w:w="1734" w:type="dxa"/>
            <w:tcBorders>
              <w:top w:val="single" w:color="auto" w:sz="12" w:space="0"/>
              <w:bottom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8D8181">
            <w:pPr>
              <w:snapToGrid w:val="0"/>
              <w:jc w:val="center"/>
              <w:rPr>
                <w:rFonts w:ascii="Times New Roman" w:hAnsi="Times New Roman" w:eastAsia="Segoe UI" w:cs="Times New Roman"/>
                <w:b/>
                <w:color w:val="0F111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b/>
                <w:color w:val="0F1115"/>
                <w:sz w:val="20"/>
                <w:szCs w:val="20"/>
                <w:shd w:val="clear" w:color="auto" w:fill="FFFFFF"/>
              </w:rPr>
              <w:t>Molecular Formula</w:t>
            </w:r>
          </w:p>
        </w:tc>
        <w:tc>
          <w:tcPr>
            <w:tcW w:w="2935" w:type="dxa"/>
            <w:tcBorders>
              <w:top w:val="single" w:color="auto" w:sz="12" w:space="0"/>
              <w:bottom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116040">
            <w:pPr>
              <w:snapToGrid w:val="0"/>
              <w:jc w:val="center"/>
              <w:rPr>
                <w:rFonts w:ascii="Times New Roman" w:hAnsi="Times New Roman" w:eastAsia="Segoe UI" w:cs="Times New Roman"/>
                <w:b/>
                <w:color w:val="0F111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b/>
                <w:color w:val="0F1115"/>
                <w:sz w:val="20"/>
                <w:szCs w:val="20"/>
                <w:shd w:val="clear" w:color="auto" w:fill="FFFFFF"/>
              </w:rPr>
              <w:t>Proposed Structure</w:t>
            </w:r>
          </w:p>
        </w:tc>
      </w:tr>
      <w:tr w14:paraId="7845D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Borders>
              <w:top w:val="single" w:color="auto" w:sz="4" w:space="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87320AE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</w:t>
            </w:r>
          </w:p>
        </w:tc>
        <w:tc>
          <w:tcPr>
            <w:tcW w:w="1427" w:type="dxa"/>
            <w:tcBorders>
              <w:top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45F0AB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Borders>
              <w:top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FF92C9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163</w:t>
            </w:r>
          </w:p>
        </w:tc>
        <w:tc>
          <w:tcPr>
            <w:tcW w:w="1734" w:type="dxa"/>
            <w:tcBorders>
              <w:top w:val="single" w:color="auto" w:sz="4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55AD3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C₆H₆NO₂S⁺</w:t>
            </w:r>
          </w:p>
        </w:tc>
        <w:tc>
          <w:tcPr>
            <w:tcW w:w="2935" w:type="dxa"/>
            <w:tcBorders>
              <w:top w:val="single" w:color="auto" w:sz="4" w:space="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171D0E4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4-Aminobenzenesulfonyl cation</w:t>
            </w:r>
          </w:p>
        </w:tc>
      </w:tr>
      <w:tr w14:paraId="2C060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8C90128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P2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38C070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4A2D99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195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634995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C₈H₉N₃OS⁺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78931D2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Benzenesulfonamide-isoxazole adduct (sulfoxide)</w:t>
            </w:r>
          </w:p>
        </w:tc>
      </w:tr>
      <w:tr w14:paraId="3800A6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2D535C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P3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A48AF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1DD6D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217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C58166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C₈H₉N₃O₂S⁺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034290A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Benzenesulfonamide-isoxazole adduct (sulfone)</w:t>
            </w:r>
          </w:p>
        </w:tc>
      </w:tr>
      <w:tr w14:paraId="751B7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5A884E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P4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5E184C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44152E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271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8DAA6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C₁₀H₁₃N₃O₅S⁺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7D3C043">
            <w:pPr>
              <w:snapToGrid w:val="0"/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 xml:space="preserve">Quinoid 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SMX</w:t>
            </w:r>
          </w:p>
        </w:tc>
      </w:tr>
      <w:tr w14:paraId="6EA7A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0339174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P5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630EAE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68EF5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239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FEBC3A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C₁₀H₁₃N₃O₄S⁺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9018CB7">
            <w:pPr>
              <w:snapToGrid w:val="0"/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 xml:space="preserve">Monohydroxylated 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SMX</w:t>
            </w:r>
          </w:p>
        </w:tc>
      </w:tr>
      <w:tr w14:paraId="4A731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28112D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P6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F39D8B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44869A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319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F963EB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C₁₄H₁₁N₃O₄S⁺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D0FE86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C–C coupled dimer</w:t>
            </w:r>
          </w:p>
        </w:tc>
      </w:tr>
      <w:tr w14:paraId="438D4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9450F6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P7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33ACFE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BE3EA7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373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BF2187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C₁₆H₁₂N₄O₅S⁺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0401DA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Dimer with carboxyl group</w:t>
            </w:r>
          </w:p>
        </w:tc>
      </w:tr>
      <w:tr w14:paraId="51857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2A6B8CB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P8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96D577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FBA60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411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4DCDB1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C₁₈H₁₇N₃O₆S⁺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0109FB8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C–O bridged dimer</w:t>
            </w:r>
          </w:p>
        </w:tc>
      </w:tr>
      <w:tr w14:paraId="4BB6A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9AA33CC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P9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8E5CE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6B16B0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444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D424CB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C₂₀H₂₀N₄O₇S⁺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F913B4E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Trimer</w:t>
            </w:r>
          </w:p>
        </w:tc>
      </w:tr>
      <w:tr w14:paraId="216A6E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DDFAB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P10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915CA9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BCE771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489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8D37C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C₂₁H₁₅N₅O₈S⁺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D863D2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Oxidized trimer</w:t>
            </w:r>
          </w:p>
        </w:tc>
      </w:tr>
      <w:tr w14:paraId="2405A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749AAFD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P11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7177B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7D3AF1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572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9C70ED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C₂₄H₂₁N₅O₁₀S₂⁺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2E50139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Polymer with two sulfonyl groups</w:t>
            </w:r>
          </w:p>
        </w:tc>
      </w:tr>
      <w:tr w14:paraId="71D30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54DA9B6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P12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3B50DA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ZnO/DBD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E86DE1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714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CD393E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C₃₀H₂₈N₆O₁₂S₂⁺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872729D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Tetramer</w:t>
            </w:r>
          </w:p>
        </w:tc>
      </w:tr>
      <w:tr w14:paraId="4A9BC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922E8C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P13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1D5CB9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91903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168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A7744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C₈H₉N₃O₂⁺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D3E5FB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3-Acetamido-5-methylisoxazole derivative</w:t>
            </w:r>
          </w:p>
        </w:tc>
      </w:tr>
      <w:tr w14:paraId="16AA8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6F4D7B6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P14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D5716E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E78DB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  <w:t>196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2A41C5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C₉H₁₃N₃O₂⁺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BF6A938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Methylated isoxazole derivative</w:t>
            </w:r>
          </w:p>
        </w:tc>
      </w:tr>
      <w:tr w14:paraId="04CA92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B5AEA88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P15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ED0D42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656AD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  <w:t>272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1FDE2C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C₁₀H₁₃N₃O₄S⁺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0B2717E">
            <w:pPr>
              <w:snapToGrid w:val="0"/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 xml:space="preserve">Monohydroxylated 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SMX</w:t>
            </w:r>
          </w:p>
        </w:tc>
      </w:tr>
      <w:tr w14:paraId="65B31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A27F14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P16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D7AFC5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E5D4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  <w:t>288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ED66D8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C₁₀H₁₃N₃O₅S⁺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A4595B">
            <w:pPr>
              <w:snapToGrid w:val="0"/>
              <w:jc w:val="center"/>
              <w:rPr>
                <w:rFonts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 xml:space="preserve">Quinoid 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</w:rPr>
              <w:t>SMX</w:t>
            </w:r>
          </w:p>
        </w:tc>
      </w:tr>
      <w:tr w14:paraId="4AB2F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B0220D2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P17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A0DE02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FC2B8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  <w:t>108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8AC4BB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C₆H₅NO⁺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54980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4-Aminophenol</w:t>
            </w:r>
          </w:p>
        </w:tc>
      </w:tr>
      <w:tr w14:paraId="428CE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15C2A7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P18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551A24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C7532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  <w:t>138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A4BC11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C₆H₇N₃O⁺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420545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2-Amino-3-hydroxypyridine</w:t>
            </w:r>
          </w:p>
        </w:tc>
      </w:tr>
      <w:tr w14:paraId="33694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B395915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P19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D4B244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0F6FC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136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60474A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C₈H₁₀NO⁺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679DD8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4-Ethylaminophenol</w:t>
            </w:r>
          </w:p>
        </w:tc>
      </w:tr>
      <w:tr w14:paraId="1BBEA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C3AF2E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P20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2CCF2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9C2D4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  <w:t>345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B3B51A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C₁₂H₁₆N₄O₆S⁺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FBC60A5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Muconic acid-type derivative</w:t>
            </w:r>
          </w:p>
        </w:tc>
      </w:tr>
      <w:tr w14:paraId="10581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C83EB8A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P21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0B66E8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A00D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  <w:t>95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7E91B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C₁₄H₁₀N₄O₈S⁺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E3C1BA2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Highly oxidized open-chain product</w:t>
            </w:r>
          </w:p>
        </w:tc>
      </w:tr>
      <w:tr w14:paraId="25EFE0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D647DDC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P22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1B0F17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A3DD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F1115"/>
                <w:szCs w:val="21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9F4F6E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C₁₈H₂₁N₅O₈S⁺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E76576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Open-chain intermediate</w:t>
            </w:r>
          </w:p>
        </w:tc>
      </w:tr>
      <w:tr w14:paraId="36720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8C6A41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P23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ABC886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073938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467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523298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C₁₈H₂₃N₅O₉S⁺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A33282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Further oxidized open-chain intermediate</w:t>
            </w:r>
          </w:p>
        </w:tc>
      </w:tr>
      <w:tr w14:paraId="1348C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C24707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P24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091541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AABBBA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61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0B01AF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CH₃NO₂⁺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C7EE5BC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Nitromethane</w:t>
            </w:r>
          </w:p>
        </w:tc>
      </w:tr>
      <w:tr w14:paraId="7548E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2611C5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P25</w:t>
            </w:r>
          </w:p>
        </w:tc>
        <w:tc>
          <w:tcPr>
            <w:tcW w:w="1427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3FA78D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07FD28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69</w:t>
            </w:r>
          </w:p>
        </w:tc>
        <w:tc>
          <w:tcPr>
            <w:tcW w:w="1734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E4B10D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C₄H₅O⁺</w:t>
            </w:r>
          </w:p>
        </w:tc>
        <w:tc>
          <w:tcPr>
            <w:tcW w:w="2935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49A838D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Protonated furan</w:t>
            </w:r>
          </w:p>
        </w:tc>
      </w:tr>
      <w:tr w14:paraId="2FA0B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" w:type="dxa"/>
            <w:tcBorders>
              <w:bottom w:val="single" w:color="auto" w:sz="12" w:space="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24E4D7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P26</w:t>
            </w:r>
          </w:p>
        </w:tc>
        <w:tc>
          <w:tcPr>
            <w:tcW w:w="1427" w:type="dxa"/>
            <w:tcBorders>
              <w:bottom w:val="single" w:color="auto" w:sz="1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8366E1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g-C₃N₄/DBD</w:t>
            </w:r>
          </w:p>
        </w:tc>
        <w:tc>
          <w:tcPr>
            <w:tcW w:w="1428" w:type="dxa"/>
            <w:tcBorders>
              <w:bottom w:val="single" w:color="auto" w:sz="1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6D898D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87</w:t>
            </w:r>
          </w:p>
        </w:tc>
        <w:tc>
          <w:tcPr>
            <w:tcW w:w="1734" w:type="dxa"/>
            <w:tcBorders>
              <w:bottom w:val="single" w:color="auto" w:sz="1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A9B523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C₄H₁₁NO⁺</w:t>
            </w:r>
          </w:p>
        </w:tc>
        <w:tc>
          <w:tcPr>
            <w:tcW w:w="2935" w:type="dxa"/>
            <w:tcBorders>
              <w:bottom w:val="single" w:color="auto" w:sz="12" w:space="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EA69920">
            <w:pPr>
              <w:snapToGrid w:val="0"/>
              <w:jc w:val="center"/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Times New Roman"/>
                <w:color w:val="0F1115"/>
                <w:szCs w:val="21"/>
                <w:shd w:val="clear" w:color="auto" w:fill="FFFFFF"/>
              </w:rPr>
              <w:t>2-Aminobutanol</w:t>
            </w:r>
          </w:p>
        </w:tc>
      </w:tr>
    </w:tbl>
    <w:p w14:paraId="7AFFB0AC">
      <w:pPr>
        <w:rPr>
          <w:rFonts w:hint="default"/>
        </w:rPr>
      </w:pPr>
    </w:p>
    <w:p w14:paraId="39253B26">
      <w:pPr>
        <w:pStyle w:val="3"/>
        <w:rPr>
          <w:lang w:val="en-US" w:eastAsia="zh-CN"/>
        </w:rPr>
      </w:pPr>
    </w:p>
    <w:p w14:paraId="702A237D"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72E6E"/>
    <w:rsid w:val="2B57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2026-05-17T09:33:00Z</dcterms:created>
  <dc:creator>zs</dc:creator>
  <cp:lastModifiedBy>zs</cp:lastModifiedBy>
  <dcterms:modified xsi:type="dcterms:W3CDTF">2026-05-17T10:16:08Z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156E34114C334751ABC60644067F80A7_11</vt:lpwstr>
  </property>
  <property fmtid="{D5CDD505-2E9C-101B-9397-08002B2CF9AE}" pid="4" name="KSOTemplateDocerSaveRecord">
    <vt:lpwstr>eyJoZGlkIjoiOTdmOGE5YjQzY2UwMGI2M2EwMTVmMmViN2FiODg2YWIiLCJ1c2VySWQiOiIxMzI2MTcxNTcxIn0=</vt:lpwstr>
  </property>
</Properties>
</file>