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70722F" w14:textId="63A5B737" w:rsidR="00CD5820" w:rsidRPr="00CD5820" w:rsidRDefault="00CD5820" w:rsidP="00CD5820">
      <w:pPr>
        <w:snapToGrid w:val="0"/>
        <w:rPr>
          <w:rFonts w:ascii="Times New Roman" w:hAnsi="Times New Roman" w:cs="Times New Roman"/>
          <w:b/>
          <w:bCs/>
          <w:color w:val="000000" w:themeColor="text1"/>
          <w:sz w:val="28"/>
          <w:szCs w:val="32"/>
        </w:rPr>
      </w:pPr>
      <w:r w:rsidRPr="00CD5820">
        <w:rPr>
          <w:rFonts w:ascii="Times New Roman" w:hAnsi="Times New Roman" w:cs="Times New Roman"/>
          <w:b/>
          <w:bCs/>
          <w:color w:val="000000" w:themeColor="text1"/>
          <w:sz w:val="28"/>
          <w:szCs w:val="32"/>
        </w:rPr>
        <w:t>Supplementary Methods</w:t>
      </w:r>
    </w:p>
    <w:p w14:paraId="10D965C5" w14:textId="77777777" w:rsidR="00CD5820" w:rsidRPr="00CD5820" w:rsidRDefault="00CD5820" w:rsidP="00CD5820">
      <w:pPr>
        <w:snapToGrid w:val="0"/>
        <w:rPr>
          <w:rFonts w:ascii="Times New Roman" w:hAnsi="Times New Roman" w:cs="Times New Roman"/>
          <w:color w:val="000000" w:themeColor="text1"/>
          <w:sz w:val="28"/>
          <w:szCs w:val="32"/>
        </w:rPr>
      </w:pPr>
    </w:p>
    <w:p w14:paraId="7F21F13B" w14:textId="7CB1721B" w:rsidR="00CD5820" w:rsidRPr="00CD5820" w:rsidRDefault="00CD5820" w:rsidP="00CD5820">
      <w:pPr>
        <w:snapToGrid w:val="0"/>
        <w:rPr>
          <w:rFonts w:ascii="Times New Roman" w:hAnsi="Times New Roman" w:cs="Times New Roman"/>
          <w:color w:val="000000" w:themeColor="text1"/>
          <w:sz w:val="28"/>
          <w:szCs w:val="32"/>
        </w:rPr>
      </w:pPr>
      <w:r w:rsidRPr="00CD5820">
        <w:rPr>
          <w:rFonts w:ascii="Times New Roman" w:hAnsi="Times New Roman" w:cs="Times New Roman"/>
          <w:color w:val="000000" w:themeColor="text1"/>
          <w:sz w:val="28"/>
          <w:szCs w:val="32"/>
        </w:rPr>
        <w:t xml:space="preserve">This supplementary document provides additional implementation details and supporting analyses for the stromal–vascular barrier manuscript. Supplementary Methods describe staining, image preprocessing, registration, segmentation, and image-derived feature extraction. </w:t>
      </w:r>
    </w:p>
    <w:p w14:paraId="54306D40" w14:textId="77777777" w:rsidR="00CD5820" w:rsidRPr="00CD5820" w:rsidRDefault="00CD5820" w:rsidP="00CD5820">
      <w:pPr>
        <w:snapToGrid w:val="0"/>
        <w:rPr>
          <w:rFonts w:ascii="Times New Roman" w:hAnsi="Times New Roman" w:cs="Times New Roman"/>
          <w:color w:val="000000" w:themeColor="text1"/>
          <w:sz w:val="28"/>
          <w:szCs w:val="32"/>
        </w:rPr>
      </w:pPr>
    </w:p>
    <w:p w14:paraId="60DC242A" w14:textId="3E73636E" w:rsidR="00CD5820" w:rsidRPr="00CD5820" w:rsidRDefault="00CD5820" w:rsidP="00CD5820">
      <w:pPr>
        <w:snapToGrid w:val="0"/>
        <w:rPr>
          <w:rFonts w:ascii="Times New Roman" w:hAnsi="Times New Roman" w:cs="Times New Roman"/>
          <w:b/>
          <w:bCs/>
          <w:color w:val="000000" w:themeColor="text1"/>
          <w:sz w:val="28"/>
          <w:szCs w:val="32"/>
        </w:rPr>
      </w:pPr>
      <w:r w:rsidRPr="00CD5820">
        <w:rPr>
          <w:rFonts w:ascii="Times New Roman" w:hAnsi="Times New Roman" w:cs="Times New Roman"/>
          <w:b/>
          <w:bCs/>
          <w:color w:val="000000" w:themeColor="text1"/>
          <w:sz w:val="28"/>
          <w:szCs w:val="32"/>
        </w:rPr>
        <w:t>Supplementary Methods: image preprocessing and feature extraction</w:t>
      </w:r>
    </w:p>
    <w:p w14:paraId="78643905" w14:textId="77777777" w:rsidR="00CD5820" w:rsidRPr="00CD5820" w:rsidRDefault="00CD5820" w:rsidP="00CD5820">
      <w:pPr>
        <w:snapToGrid w:val="0"/>
        <w:rPr>
          <w:rFonts w:ascii="Times New Roman" w:hAnsi="Times New Roman" w:cs="Times New Roman"/>
          <w:color w:val="000000" w:themeColor="text1"/>
          <w:sz w:val="28"/>
          <w:szCs w:val="32"/>
        </w:rPr>
      </w:pPr>
    </w:p>
    <w:p w14:paraId="37EC65E2" w14:textId="5B6FBB8B" w:rsidR="00CD5820" w:rsidRPr="00CD5820" w:rsidRDefault="00CD5820" w:rsidP="00CD5820">
      <w:pPr>
        <w:snapToGrid w:val="0"/>
        <w:rPr>
          <w:rFonts w:ascii="Times New Roman" w:hAnsi="Times New Roman" w:cs="Times New Roman"/>
          <w:b/>
          <w:bCs/>
          <w:color w:val="000000" w:themeColor="text1"/>
          <w:sz w:val="28"/>
          <w:szCs w:val="32"/>
        </w:rPr>
      </w:pPr>
      <w:r w:rsidRPr="00CD5820">
        <w:rPr>
          <w:rFonts w:ascii="Times New Roman" w:hAnsi="Times New Roman" w:cs="Times New Roman"/>
          <w:b/>
          <w:bCs/>
          <w:color w:val="000000" w:themeColor="text1"/>
          <w:sz w:val="28"/>
          <w:szCs w:val="32"/>
        </w:rPr>
        <w:t>H&amp;E and multiplex immunofluorescence staining</w:t>
      </w:r>
    </w:p>
    <w:p w14:paraId="350F70C2" w14:textId="77777777" w:rsidR="00CD5820" w:rsidRPr="00CD5820" w:rsidRDefault="00CD5820" w:rsidP="00CD5820">
      <w:pPr>
        <w:snapToGrid w:val="0"/>
        <w:rPr>
          <w:rFonts w:ascii="Times New Roman" w:hAnsi="Times New Roman" w:cs="Times New Roman"/>
          <w:color w:val="000000" w:themeColor="text1"/>
          <w:sz w:val="28"/>
          <w:szCs w:val="32"/>
        </w:rPr>
      </w:pPr>
      <w:r w:rsidRPr="00CD5820">
        <w:rPr>
          <w:rFonts w:ascii="Times New Roman" w:hAnsi="Times New Roman" w:cs="Times New Roman"/>
          <w:color w:val="000000" w:themeColor="text1"/>
          <w:sz w:val="28"/>
          <w:szCs w:val="32"/>
        </w:rPr>
        <w:t>Staining followed a sequential workflow in which multiplex immunofluorescence (</w:t>
      </w:r>
      <w:proofErr w:type="spellStart"/>
      <w:r w:rsidRPr="00CD5820">
        <w:rPr>
          <w:rFonts w:ascii="Times New Roman" w:hAnsi="Times New Roman" w:cs="Times New Roman"/>
          <w:color w:val="000000" w:themeColor="text1"/>
          <w:sz w:val="28"/>
          <w:szCs w:val="32"/>
        </w:rPr>
        <w:t>mIF</w:t>
      </w:r>
      <w:proofErr w:type="spellEnd"/>
      <w:r w:rsidRPr="00CD5820">
        <w:rPr>
          <w:rFonts w:ascii="Times New Roman" w:hAnsi="Times New Roman" w:cs="Times New Roman"/>
          <w:color w:val="000000" w:themeColor="text1"/>
          <w:sz w:val="28"/>
          <w:szCs w:val="32"/>
        </w:rPr>
        <w:t xml:space="preserve">) staining was performed before hematoxylin and eosin (H&amp;E) staining. </w:t>
      </w:r>
      <w:proofErr w:type="spellStart"/>
      <w:r w:rsidRPr="00CD5820">
        <w:rPr>
          <w:rFonts w:ascii="Times New Roman" w:hAnsi="Times New Roman" w:cs="Times New Roman"/>
          <w:color w:val="000000" w:themeColor="text1"/>
          <w:sz w:val="28"/>
          <w:szCs w:val="32"/>
        </w:rPr>
        <w:t>mIF</w:t>
      </w:r>
      <w:proofErr w:type="spellEnd"/>
      <w:r w:rsidRPr="00CD5820">
        <w:rPr>
          <w:rFonts w:ascii="Times New Roman" w:hAnsi="Times New Roman" w:cs="Times New Roman"/>
          <w:color w:val="000000" w:themeColor="text1"/>
          <w:sz w:val="28"/>
          <w:szCs w:val="32"/>
        </w:rPr>
        <w:t xml:space="preserve"> staining was conducted using standard protocols with the Akoya Biosciences Opal Dye Kit (Cat. #NEL861001KT). H&amp;E staining was subsequently performed on the same or adjacent sections to provide morphologic reference, with hematoxylin highlighting nuclei and eosin providing cytoplasmic and stromal contrast.</w:t>
      </w:r>
    </w:p>
    <w:p w14:paraId="2C658DA2" w14:textId="77777777" w:rsidR="00CD5820" w:rsidRPr="00CD5820" w:rsidRDefault="00CD5820" w:rsidP="00CD5820">
      <w:pPr>
        <w:snapToGrid w:val="0"/>
        <w:rPr>
          <w:rFonts w:ascii="Times New Roman" w:hAnsi="Times New Roman" w:cs="Times New Roman"/>
          <w:color w:val="000000" w:themeColor="text1"/>
          <w:sz w:val="28"/>
          <w:szCs w:val="32"/>
        </w:rPr>
      </w:pPr>
    </w:p>
    <w:p w14:paraId="4EF75173" w14:textId="73CBA8B5" w:rsidR="00CD5820" w:rsidRPr="00CD5820" w:rsidRDefault="00CD5820" w:rsidP="00CD5820">
      <w:pPr>
        <w:snapToGrid w:val="0"/>
        <w:rPr>
          <w:rFonts w:ascii="Times New Roman" w:hAnsi="Times New Roman" w:cs="Times New Roman"/>
          <w:color w:val="000000" w:themeColor="text1"/>
          <w:sz w:val="28"/>
          <w:szCs w:val="32"/>
        </w:rPr>
      </w:pPr>
      <w:r w:rsidRPr="00CD5820">
        <w:rPr>
          <w:rFonts w:ascii="Times New Roman" w:hAnsi="Times New Roman" w:cs="Times New Roman"/>
          <w:color w:val="000000" w:themeColor="text1"/>
          <w:sz w:val="28"/>
          <w:szCs w:val="32"/>
        </w:rPr>
        <w:t xml:space="preserve">Three </w:t>
      </w:r>
      <w:proofErr w:type="spellStart"/>
      <w:r w:rsidRPr="00CD5820">
        <w:rPr>
          <w:rFonts w:ascii="Times New Roman" w:hAnsi="Times New Roman" w:cs="Times New Roman"/>
          <w:color w:val="000000" w:themeColor="text1"/>
          <w:sz w:val="28"/>
          <w:szCs w:val="32"/>
        </w:rPr>
        <w:t>mIF</w:t>
      </w:r>
      <w:proofErr w:type="spellEnd"/>
      <w:r w:rsidRPr="00CD5820">
        <w:rPr>
          <w:rFonts w:ascii="Times New Roman" w:hAnsi="Times New Roman" w:cs="Times New Roman"/>
          <w:color w:val="000000" w:themeColor="text1"/>
          <w:sz w:val="28"/>
          <w:szCs w:val="32"/>
        </w:rPr>
        <w:t xml:space="preserve"> panels were used. Panel 1 profiled lymphoid and immune features and included FOXP3, CD20, Ki67, CD3, and CD8. Panel 2 profiled suppressive immune and macrophage-associated markers and included CD8, PD-1, PD-L1, CD163, and CD68. Panel 3 profiled stromal, vascular, tumor, neutrophil, and NK-related compartments and included SMA, CD66b, CD31, CD56, and Pan-cytokeratin. All </w:t>
      </w:r>
      <w:proofErr w:type="spellStart"/>
      <w:r w:rsidRPr="00CD5820">
        <w:rPr>
          <w:rFonts w:ascii="Times New Roman" w:hAnsi="Times New Roman" w:cs="Times New Roman"/>
          <w:color w:val="000000" w:themeColor="text1"/>
          <w:sz w:val="28"/>
          <w:szCs w:val="32"/>
        </w:rPr>
        <w:t>mIF</w:t>
      </w:r>
      <w:proofErr w:type="spellEnd"/>
      <w:r w:rsidRPr="00CD5820">
        <w:rPr>
          <w:rFonts w:ascii="Times New Roman" w:hAnsi="Times New Roman" w:cs="Times New Roman"/>
          <w:color w:val="000000" w:themeColor="text1"/>
          <w:sz w:val="28"/>
          <w:szCs w:val="32"/>
        </w:rPr>
        <w:t xml:space="preserve"> panels included DAPI for nuclear detection. After digitization, H&amp;E and </w:t>
      </w:r>
      <w:proofErr w:type="spellStart"/>
      <w:r w:rsidRPr="00CD5820">
        <w:rPr>
          <w:rFonts w:ascii="Times New Roman" w:hAnsi="Times New Roman" w:cs="Times New Roman"/>
          <w:color w:val="000000" w:themeColor="text1"/>
          <w:sz w:val="28"/>
          <w:szCs w:val="32"/>
        </w:rPr>
        <w:t>mIF</w:t>
      </w:r>
      <w:proofErr w:type="spellEnd"/>
      <w:r w:rsidRPr="00CD5820">
        <w:rPr>
          <w:rFonts w:ascii="Times New Roman" w:hAnsi="Times New Roman" w:cs="Times New Roman"/>
          <w:color w:val="000000" w:themeColor="text1"/>
          <w:sz w:val="28"/>
          <w:szCs w:val="32"/>
        </w:rPr>
        <w:t xml:space="preserve"> images were computationally superimposed using the registration pipeline described in the main Methods. Marker positivity was determined from fluorescence intensity thresholds applied to segmented cells.</w:t>
      </w:r>
    </w:p>
    <w:p w14:paraId="00FC7B34" w14:textId="77777777" w:rsidR="00CD5820" w:rsidRPr="00CD5820" w:rsidRDefault="00CD5820" w:rsidP="00CD5820">
      <w:pPr>
        <w:snapToGrid w:val="0"/>
        <w:rPr>
          <w:rFonts w:ascii="Times New Roman" w:hAnsi="Times New Roman" w:cs="Times New Roman"/>
          <w:color w:val="000000" w:themeColor="text1"/>
          <w:sz w:val="28"/>
          <w:szCs w:val="32"/>
        </w:rPr>
      </w:pPr>
    </w:p>
    <w:p w14:paraId="710F25DF" w14:textId="687AB29D" w:rsidR="00CD5820" w:rsidRPr="00CD5820" w:rsidRDefault="00CD5820" w:rsidP="00CD5820">
      <w:pPr>
        <w:snapToGrid w:val="0"/>
        <w:rPr>
          <w:rFonts w:ascii="Times New Roman" w:hAnsi="Times New Roman" w:cs="Times New Roman"/>
          <w:b/>
          <w:bCs/>
          <w:color w:val="000000" w:themeColor="text1"/>
          <w:sz w:val="28"/>
          <w:szCs w:val="32"/>
        </w:rPr>
      </w:pPr>
      <w:r w:rsidRPr="00CD5820">
        <w:rPr>
          <w:rFonts w:ascii="Times New Roman" w:hAnsi="Times New Roman" w:cs="Times New Roman"/>
          <w:b/>
          <w:bCs/>
          <w:color w:val="000000" w:themeColor="text1"/>
          <w:sz w:val="28"/>
          <w:szCs w:val="32"/>
        </w:rPr>
        <w:t>Stain normalization</w:t>
      </w:r>
    </w:p>
    <w:p w14:paraId="6ADE4026" w14:textId="77777777" w:rsidR="00CD5820" w:rsidRPr="00CD5820" w:rsidRDefault="00CD5820" w:rsidP="00CD5820">
      <w:pPr>
        <w:snapToGrid w:val="0"/>
        <w:rPr>
          <w:rFonts w:ascii="Times New Roman" w:hAnsi="Times New Roman" w:cs="Times New Roman"/>
          <w:color w:val="000000" w:themeColor="text1"/>
          <w:sz w:val="28"/>
          <w:szCs w:val="32"/>
        </w:rPr>
      </w:pPr>
      <w:r w:rsidRPr="00CD5820">
        <w:rPr>
          <w:rFonts w:ascii="Times New Roman" w:hAnsi="Times New Roman" w:cs="Times New Roman"/>
          <w:color w:val="000000" w:themeColor="text1"/>
          <w:sz w:val="28"/>
          <w:szCs w:val="32"/>
        </w:rPr>
        <w:t>H&amp;E images were normalized before registration and feature extraction. Large RGB/TIFF images were read using image-aware readers with support for TIFF-based formats. Brightness standardization was applied before stain normalization to reduce inter-slide staining variability. For quality review, thumbnail comparisons of original and normalized images were generated and stored with the processing outputs.</w:t>
      </w:r>
    </w:p>
    <w:p w14:paraId="6B4FE651" w14:textId="77777777" w:rsidR="00CD5820" w:rsidRPr="00CD5820" w:rsidRDefault="00CD5820" w:rsidP="00CD5820">
      <w:pPr>
        <w:snapToGrid w:val="0"/>
        <w:rPr>
          <w:rFonts w:ascii="Times New Roman" w:hAnsi="Times New Roman" w:cs="Times New Roman"/>
          <w:color w:val="000000" w:themeColor="text1"/>
          <w:sz w:val="28"/>
          <w:szCs w:val="32"/>
        </w:rPr>
      </w:pPr>
    </w:p>
    <w:p w14:paraId="03DD6373" w14:textId="3A50FF0D" w:rsidR="00CD5820" w:rsidRPr="00CD5820" w:rsidRDefault="00CD5820" w:rsidP="00CD5820">
      <w:pPr>
        <w:snapToGrid w:val="0"/>
        <w:rPr>
          <w:rFonts w:ascii="Times New Roman" w:hAnsi="Times New Roman" w:cs="Times New Roman"/>
          <w:b/>
          <w:bCs/>
          <w:color w:val="000000" w:themeColor="text1"/>
          <w:sz w:val="28"/>
          <w:szCs w:val="32"/>
        </w:rPr>
      </w:pPr>
      <w:r w:rsidRPr="00CD5820">
        <w:rPr>
          <w:rFonts w:ascii="Times New Roman" w:hAnsi="Times New Roman" w:cs="Times New Roman"/>
          <w:b/>
          <w:bCs/>
          <w:color w:val="000000" w:themeColor="text1"/>
          <w:sz w:val="28"/>
          <w:szCs w:val="32"/>
        </w:rPr>
        <w:t>H&amp;E–multiplex immunofluorescence registration</w:t>
      </w:r>
    </w:p>
    <w:p w14:paraId="5F3CEFD8" w14:textId="77777777" w:rsidR="00CD5820" w:rsidRPr="00CD5820" w:rsidRDefault="00CD5820" w:rsidP="00CD5820">
      <w:pPr>
        <w:snapToGrid w:val="0"/>
        <w:rPr>
          <w:rFonts w:ascii="Times New Roman" w:hAnsi="Times New Roman" w:cs="Times New Roman"/>
          <w:color w:val="000000" w:themeColor="text1"/>
          <w:sz w:val="28"/>
          <w:szCs w:val="32"/>
        </w:rPr>
      </w:pPr>
      <w:r w:rsidRPr="00CD5820">
        <w:rPr>
          <w:rFonts w:ascii="Times New Roman" w:hAnsi="Times New Roman" w:cs="Times New Roman"/>
          <w:color w:val="000000" w:themeColor="text1"/>
          <w:sz w:val="28"/>
          <w:szCs w:val="32"/>
        </w:rPr>
        <w:t xml:space="preserve">Normalized H&amp;E images were registered to multiplex immunofluorescence images using a batch registration workflow. Registration used feature-based alignment with high </w:t>
      </w:r>
      <w:proofErr w:type="spellStart"/>
      <w:r w:rsidRPr="00CD5820">
        <w:rPr>
          <w:rFonts w:ascii="Times New Roman" w:hAnsi="Times New Roman" w:cs="Times New Roman"/>
          <w:color w:val="000000" w:themeColor="text1"/>
          <w:sz w:val="28"/>
          <w:szCs w:val="32"/>
        </w:rPr>
        <w:t>keypoint</w:t>
      </w:r>
      <w:proofErr w:type="spellEnd"/>
      <w:r w:rsidRPr="00CD5820">
        <w:rPr>
          <w:rFonts w:ascii="Times New Roman" w:hAnsi="Times New Roman" w:cs="Times New Roman"/>
          <w:color w:val="000000" w:themeColor="text1"/>
          <w:sz w:val="28"/>
          <w:szCs w:val="32"/>
        </w:rPr>
        <w:t xml:space="preserve"> counts, </w:t>
      </w:r>
      <w:r w:rsidRPr="00CD5820">
        <w:rPr>
          <w:rFonts w:ascii="Times New Roman" w:hAnsi="Times New Roman" w:cs="Times New Roman"/>
          <w:color w:val="000000" w:themeColor="text1"/>
          <w:sz w:val="28"/>
          <w:szCs w:val="32"/>
        </w:rPr>
        <w:lastRenderedPageBreak/>
        <w:t>thumbnail-level processing for computational efficiency, and tiled/chunked processing for large images. The workflow included retry logic for failed or low-quality registration attempts. Final registered outputs preserved the H&amp;E reference and aligned multiplex immunofluorescence channels for downstream segmentation, phenotype assignment, and spatial-feature extraction.</w:t>
      </w:r>
    </w:p>
    <w:p w14:paraId="3FCA0CBB" w14:textId="77777777" w:rsidR="00CD5820" w:rsidRPr="00CD5820" w:rsidRDefault="00CD5820" w:rsidP="00CD5820">
      <w:pPr>
        <w:snapToGrid w:val="0"/>
        <w:rPr>
          <w:rFonts w:ascii="Times New Roman" w:hAnsi="Times New Roman" w:cs="Times New Roman"/>
          <w:color w:val="000000" w:themeColor="text1"/>
          <w:sz w:val="28"/>
          <w:szCs w:val="32"/>
        </w:rPr>
      </w:pPr>
    </w:p>
    <w:p w14:paraId="3FFB9CD3" w14:textId="78F08C9F" w:rsidR="00CD5820" w:rsidRPr="00CD5820" w:rsidRDefault="00CD5820" w:rsidP="00CD5820">
      <w:pPr>
        <w:snapToGrid w:val="0"/>
        <w:rPr>
          <w:rFonts w:ascii="Times New Roman" w:hAnsi="Times New Roman" w:cs="Times New Roman"/>
          <w:b/>
          <w:bCs/>
          <w:color w:val="000000" w:themeColor="text1"/>
          <w:sz w:val="28"/>
          <w:szCs w:val="32"/>
        </w:rPr>
      </w:pPr>
      <w:r w:rsidRPr="00CD5820">
        <w:rPr>
          <w:rFonts w:ascii="Times New Roman" w:hAnsi="Times New Roman" w:cs="Times New Roman"/>
          <w:b/>
          <w:bCs/>
          <w:color w:val="000000" w:themeColor="text1"/>
          <w:sz w:val="28"/>
          <w:szCs w:val="32"/>
        </w:rPr>
        <w:t>Registration quality control</w:t>
      </w:r>
    </w:p>
    <w:p w14:paraId="32BC1FFF" w14:textId="77777777" w:rsidR="00CD5820" w:rsidRPr="00CD5820" w:rsidRDefault="00CD5820" w:rsidP="00CD5820">
      <w:pPr>
        <w:snapToGrid w:val="0"/>
        <w:rPr>
          <w:rFonts w:ascii="Times New Roman" w:hAnsi="Times New Roman" w:cs="Times New Roman"/>
          <w:color w:val="000000" w:themeColor="text1"/>
          <w:sz w:val="28"/>
          <w:szCs w:val="32"/>
        </w:rPr>
      </w:pPr>
      <w:r w:rsidRPr="00CD5820">
        <w:rPr>
          <w:rFonts w:ascii="Times New Roman" w:hAnsi="Times New Roman" w:cs="Times New Roman"/>
          <w:color w:val="000000" w:themeColor="text1"/>
          <w:sz w:val="28"/>
          <w:szCs w:val="32"/>
        </w:rPr>
        <w:t xml:space="preserve">Registration quality was evaluated using multiple complementary metrics rather than a single score. Metrics included phase cross-correlation, structural similarity, mutual information, and image correlation. </w:t>
      </w:r>
      <w:proofErr w:type="spellStart"/>
      <w:r w:rsidRPr="00CD5820">
        <w:rPr>
          <w:rFonts w:ascii="Times New Roman" w:hAnsi="Times New Roman" w:cs="Times New Roman"/>
          <w:color w:val="000000" w:themeColor="text1"/>
          <w:sz w:val="28"/>
          <w:szCs w:val="32"/>
        </w:rPr>
        <w:t>Downsampled</w:t>
      </w:r>
      <w:proofErr w:type="spellEnd"/>
      <w:r w:rsidRPr="00CD5820">
        <w:rPr>
          <w:rFonts w:ascii="Times New Roman" w:hAnsi="Times New Roman" w:cs="Times New Roman"/>
          <w:color w:val="000000" w:themeColor="text1"/>
          <w:sz w:val="28"/>
          <w:szCs w:val="32"/>
        </w:rPr>
        <w:t xml:space="preserve"> images were used to make quality assessment scalable across the cohort. Overlay visualizations and summary reports were generated to support manual review. Low-quality registered images could be flagged or excluded based on prespecified quality-score thresholds.</w:t>
      </w:r>
    </w:p>
    <w:p w14:paraId="76244F34" w14:textId="77777777" w:rsidR="00CD5820" w:rsidRPr="00CD5820" w:rsidRDefault="00CD5820" w:rsidP="00CD5820">
      <w:pPr>
        <w:snapToGrid w:val="0"/>
        <w:rPr>
          <w:rFonts w:ascii="Times New Roman" w:hAnsi="Times New Roman" w:cs="Times New Roman"/>
          <w:color w:val="000000" w:themeColor="text1"/>
          <w:sz w:val="28"/>
          <w:szCs w:val="32"/>
        </w:rPr>
      </w:pPr>
    </w:p>
    <w:p w14:paraId="065395F9" w14:textId="0813E31A" w:rsidR="00CD5820" w:rsidRPr="00CD5820" w:rsidRDefault="00CD5820" w:rsidP="00CD5820">
      <w:pPr>
        <w:snapToGrid w:val="0"/>
        <w:rPr>
          <w:rFonts w:ascii="Times New Roman" w:hAnsi="Times New Roman" w:cs="Times New Roman"/>
          <w:b/>
          <w:bCs/>
          <w:color w:val="000000" w:themeColor="text1"/>
          <w:sz w:val="28"/>
          <w:szCs w:val="32"/>
        </w:rPr>
      </w:pPr>
      <w:r w:rsidRPr="00CD5820">
        <w:rPr>
          <w:rFonts w:ascii="Times New Roman" w:hAnsi="Times New Roman" w:cs="Times New Roman" w:hint="eastAsia"/>
          <w:b/>
          <w:bCs/>
          <w:color w:val="000000" w:themeColor="text1"/>
          <w:sz w:val="28"/>
          <w:szCs w:val="32"/>
        </w:rPr>
        <w:t>N</w:t>
      </w:r>
      <w:r w:rsidRPr="00CD5820">
        <w:rPr>
          <w:rFonts w:ascii="Times New Roman" w:hAnsi="Times New Roman" w:cs="Times New Roman"/>
          <w:b/>
          <w:bCs/>
          <w:color w:val="000000" w:themeColor="text1"/>
          <w:sz w:val="28"/>
          <w:szCs w:val="32"/>
        </w:rPr>
        <w:t>on-specific fluorescence and autofluorescence correction</w:t>
      </w:r>
    </w:p>
    <w:p w14:paraId="4FAD314C" w14:textId="77777777" w:rsidR="00CD5820" w:rsidRPr="00CD5820" w:rsidRDefault="00CD5820" w:rsidP="00CD5820">
      <w:pPr>
        <w:snapToGrid w:val="0"/>
        <w:rPr>
          <w:rFonts w:ascii="Times New Roman" w:hAnsi="Times New Roman" w:cs="Times New Roman"/>
          <w:color w:val="000000" w:themeColor="text1"/>
          <w:sz w:val="28"/>
          <w:szCs w:val="32"/>
        </w:rPr>
      </w:pPr>
      <w:r w:rsidRPr="00CD5820">
        <w:rPr>
          <w:rFonts w:ascii="Times New Roman" w:hAnsi="Times New Roman" w:cs="Times New Roman"/>
          <w:color w:val="000000" w:themeColor="text1"/>
          <w:sz w:val="28"/>
          <w:szCs w:val="32"/>
        </w:rPr>
        <w:t>Multiplex immunofluorescence images were corrected for non-specific fluorescence using an adaptive autofluorescence-based approach. An autofluorescence channel was used to estimate fine- and coarse-scale background components. For selected immune-marker channels, correction was applied when channel intensity showed sufficient correlation with the autofluorescence signal. Local contrast was used to adaptively combine fine and coarse background estimates, allowing stronger background subtraction in low-contrast regions while preserving high-contrast marker-positive signal.</w:t>
      </w:r>
    </w:p>
    <w:p w14:paraId="42490128" w14:textId="77777777" w:rsidR="00CD5820" w:rsidRPr="00CD5820" w:rsidRDefault="00CD5820" w:rsidP="00CD5820">
      <w:pPr>
        <w:snapToGrid w:val="0"/>
        <w:rPr>
          <w:rFonts w:ascii="Times New Roman" w:hAnsi="Times New Roman" w:cs="Times New Roman"/>
          <w:color w:val="000000" w:themeColor="text1"/>
          <w:sz w:val="28"/>
          <w:szCs w:val="32"/>
        </w:rPr>
      </w:pPr>
    </w:p>
    <w:p w14:paraId="6E965DB9" w14:textId="49AB2607" w:rsidR="00CD5820" w:rsidRPr="00CD5820" w:rsidRDefault="00CD5820" w:rsidP="00CD5820">
      <w:pPr>
        <w:snapToGrid w:val="0"/>
        <w:rPr>
          <w:rFonts w:ascii="Times New Roman" w:hAnsi="Times New Roman" w:cs="Times New Roman"/>
          <w:b/>
          <w:bCs/>
          <w:color w:val="000000" w:themeColor="text1"/>
          <w:sz w:val="28"/>
          <w:szCs w:val="32"/>
        </w:rPr>
      </w:pPr>
      <w:r w:rsidRPr="00CD5820">
        <w:rPr>
          <w:rFonts w:ascii="Times New Roman" w:hAnsi="Times New Roman" w:cs="Times New Roman"/>
          <w:b/>
          <w:bCs/>
          <w:color w:val="000000" w:themeColor="text1"/>
          <w:sz w:val="28"/>
          <w:szCs w:val="32"/>
        </w:rPr>
        <w:t>Cell segmentation and cell-level measurements</w:t>
      </w:r>
    </w:p>
    <w:p w14:paraId="19966EB5" w14:textId="77777777" w:rsidR="00CD5820" w:rsidRPr="00CD5820" w:rsidRDefault="00CD5820" w:rsidP="00CD5820">
      <w:pPr>
        <w:snapToGrid w:val="0"/>
        <w:rPr>
          <w:rFonts w:ascii="Times New Roman" w:hAnsi="Times New Roman" w:cs="Times New Roman"/>
          <w:color w:val="000000" w:themeColor="text1"/>
          <w:sz w:val="28"/>
          <w:szCs w:val="32"/>
        </w:rPr>
      </w:pPr>
      <w:r w:rsidRPr="00CD5820">
        <w:rPr>
          <w:rFonts w:ascii="Times New Roman" w:hAnsi="Times New Roman" w:cs="Times New Roman"/>
          <w:color w:val="000000" w:themeColor="text1"/>
          <w:sz w:val="28"/>
          <w:szCs w:val="32"/>
        </w:rPr>
        <w:t xml:space="preserve">Cell segmentation was performed using a </w:t>
      </w:r>
      <w:proofErr w:type="spellStart"/>
      <w:r w:rsidRPr="00CD5820">
        <w:rPr>
          <w:rFonts w:ascii="Times New Roman" w:hAnsi="Times New Roman" w:cs="Times New Roman"/>
          <w:color w:val="000000" w:themeColor="text1"/>
          <w:sz w:val="28"/>
          <w:szCs w:val="32"/>
        </w:rPr>
        <w:t>Cellpose</w:t>
      </w:r>
      <w:proofErr w:type="spellEnd"/>
      <w:r w:rsidRPr="00CD5820">
        <w:rPr>
          <w:rFonts w:ascii="Times New Roman" w:hAnsi="Times New Roman" w:cs="Times New Roman"/>
          <w:color w:val="000000" w:themeColor="text1"/>
          <w:sz w:val="28"/>
          <w:szCs w:val="32"/>
        </w:rPr>
        <w:t>-based two-dimensional segmentation workflow applied to processed H&amp;E images. The model used automated cell-size estimation when the cell diameter was not specified. Cell masks were used to extract cell-level measurements and spatial coordinates. These outputs supported phenotype assignment, cellular abundance summaries, contact measurements, and nearest-neighbor spatial features.</w:t>
      </w:r>
    </w:p>
    <w:p w14:paraId="3B21C9D4" w14:textId="77777777" w:rsidR="00CD5820" w:rsidRPr="00CD5820" w:rsidRDefault="00CD5820" w:rsidP="00CD5820">
      <w:pPr>
        <w:snapToGrid w:val="0"/>
        <w:rPr>
          <w:rFonts w:ascii="Times New Roman" w:hAnsi="Times New Roman" w:cs="Times New Roman"/>
          <w:color w:val="000000" w:themeColor="text1"/>
          <w:sz w:val="28"/>
          <w:szCs w:val="32"/>
        </w:rPr>
      </w:pPr>
    </w:p>
    <w:p w14:paraId="71246A52" w14:textId="0BBAE547" w:rsidR="00CD5820" w:rsidRPr="00CD5820" w:rsidRDefault="00CD5820" w:rsidP="00CD5820">
      <w:pPr>
        <w:snapToGrid w:val="0"/>
        <w:rPr>
          <w:rFonts w:ascii="Times New Roman" w:hAnsi="Times New Roman" w:cs="Times New Roman"/>
          <w:b/>
          <w:bCs/>
          <w:color w:val="000000" w:themeColor="text1"/>
          <w:sz w:val="28"/>
          <w:szCs w:val="32"/>
        </w:rPr>
      </w:pPr>
      <w:r w:rsidRPr="00CD5820">
        <w:rPr>
          <w:rFonts w:ascii="Times New Roman" w:hAnsi="Times New Roman" w:cs="Times New Roman"/>
          <w:b/>
          <w:bCs/>
          <w:color w:val="000000" w:themeColor="text1"/>
          <w:sz w:val="28"/>
          <w:szCs w:val="32"/>
        </w:rPr>
        <w:t>Image-derived spatial features</w:t>
      </w:r>
    </w:p>
    <w:p w14:paraId="5783BB07" w14:textId="59B6C6C0" w:rsidR="003F17FF" w:rsidRDefault="00CD5820" w:rsidP="00C23588">
      <w:pPr>
        <w:snapToGrid w:val="0"/>
        <w:rPr>
          <w:rFonts w:ascii="Times New Roman" w:hAnsi="Times New Roman" w:cs="Times New Roman"/>
          <w:color w:val="000000" w:themeColor="text1"/>
          <w:sz w:val="28"/>
          <w:szCs w:val="32"/>
        </w:rPr>
      </w:pPr>
      <w:r w:rsidRPr="00CD5820">
        <w:rPr>
          <w:rFonts w:ascii="Times New Roman" w:hAnsi="Times New Roman" w:cs="Times New Roman"/>
          <w:color w:val="000000" w:themeColor="text1"/>
          <w:sz w:val="28"/>
          <w:szCs w:val="32"/>
        </w:rPr>
        <w:t xml:space="preserve">Cellular composition features summarized the fraction of tumor, CAF, endothelial, neutrophil, NK, and immune cell populations per core. Contact features quantified local spatial adjacency between biologically relevant compartments, including tumor–CAF, tumor–endothelial, and CAF–endothelial coupling. Nearest-neighbor features quantified spatial proximity between tumor cells and stromal or vascular compartments. </w:t>
      </w:r>
      <w:r w:rsidRPr="00CD5820">
        <w:rPr>
          <w:rFonts w:ascii="Times New Roman" w:hAnsi="Times New Roman" w:cs="Times New Roman"/>
          <w:color w:val="000000" w:themeColor="text1"/>
          <w:sz w:val="28"/>
          <w:szCs w:val="32"/>
        </w:rPr>
        <w:lastRenderedPageBreak/>
        <w:t>These feature classes were used to construct the stromal–vascular barrier score and to support feature-level interpretation.</w:t>
      </w:r>
    </w:p>
    <w:p w14:paraId="370F1C20" w14:textId="43EA303D" w:rsidR="00CD5820" w:rsidRDefault="003F17FF" w:rsidP="003F17FF">
      <w:pPr>
        <w:widowControl/>
        <w:jc w:val="left"/>
        <w:rPr>
          <w:rFonts w:ascii="Times New Roman" w:hAnsi="Times New Roman" w:cs="Times New Roman"/>
          <w:color w:val="000000" w:themeColor="text1"/>
          <w:sz w:val="28"/>
          <w:szCs w:val="32"/>
        </w:rPr>
      </w:pPr>
      <w:r>
        <w:rPr>
          <w:rFonts w:ascii="Times New Roman" w:hAnsi="Times New Roman" w:cs="Times New Roman"/>
          <w:color w:val="000000" w:themeColor="text1"/>
          <w:sz w:val="28"/>
          <w:szCs w:val="32"/>
        </w:rPr>
        <w:br w:type="page"/>
      </w:r>
    </w:p>
    <w:p w14:paraId="7F3BD4DD" w14:textId="14A02143" w:rsidR="00CD5820" w:rsidRPr="00CD5820" w:rsidRDefault="00CD5820" w:rsidP="00CD5820">
      <w:pPr>
        <w:snapToGrid w:val="0"/>
        <w:rPr>
          <w:rFonts w:ascii="Times New Roman" w:hAnsi="Times New Roman" w:cs="Times New Roman"/>
          <w:b/>
          <w:bCs/>
          <w:color w:val="000000" w:themeColor="text1"/>
          <w:sz w:val="28"/>
          <w:szCs w:val="32"/>
        </w:rPr>
      </w:pPr>
      <w:r w:rsidRPr="00CD5820">
        <w:rPr>
          <w:rFonts w:ascii="Times New Roman" w:hAnsi="Times New Roman" w:cs="Times New Roman"/>
          <w:b/>
          <w:bCs/>
          <w:color w:val="000000" w:themeColor="text1"/>
          <w:sz w:val="28"/>
          <w:szCs w:val="32"/>
        </w:rPr>
        <w:lastRenderedPageBreak/>
        <w:t xml:space="preserve">Supplementary </w:t>
      </w:r>
      <w:r w:rsidRPr="00CD5820">
        <w:rPr>
          <w:rFonts w:ascii="Times New Roman" w:hAnsi="Times New Roman" w:cs="Times New Roman" w:hint="eastAsia"/>
          <w:b/>
          <w:bCs/>
          <w:color w:val="000000" w:themeColor="text1"/>
          <w:sz w:val="28"/>
          <w:szCs w:val="32"/>
        </w:rPr>
        <w:t>Figure</w:t>
      </w:r>
      <w:r w:rsidRPr="00CD5820">
        <w:rPr>
          <w:rFonts w:ascii="Times New Roman" w:hAnsi="Times New Roman" w:cs="Times New Roman"/>
          <w:b/>
          <w:bCs/>
          <w:color w:val="000000" w:themeColor="text1"/>
          <w:sz w:val="28"/>
          <w:szCs w:val="32"/>
        </w:rPr>
        <w:t xml:space="preserve"> 1</w:t>
      </w:r>
      <w:r>
        <w:rPr>
          <w:rFonts w:ascii="Times New Roman" w:hAnsi="Times New Roman" w:cs="Times New Roman" w:hint="eastAsia"/>
          <w:b/>
          <w:bCs/>
          <w:color w:val="000000" w:themeColor="text1"/>
          <w:sz w:val="28"/>
          <w:szCs w:val="32"/>
        </w:rPr>
        <w:t>：</w:t>
      </w:r>
      <w:r w:rsidRPr="00CD5820">
        <w:rPr>
          <w:rFonts w:ascii="Times New Roman" w:hAnsi="Times New Roman" w:cs="Times New Roman"/>
          <w:b/>
          <w:bCs/>
          <w:color w:val="000000" w:themeColor="text1"/>
          <w:sz w:val="28"/>
          <w:szCs w:val="32"/>
        </w:rPr>
        <w:t>Score-construction robustness</w:t>
      </w:r>
    </w:p>
    <w:p w14:paraId="35621F57" w14:textId="3488E7B9" w:rsidR="00CD5820" w:rsidRPr="00CD5820" w:rsidRDefault="00CD5820" w:rsidP="00CD5820">
      <w:pPr>
        <w:snapToGrid w:val="0"/>
        <w:rPr>
          <w:rFonts w:ascii="Times New Roman" w:hAnsi="Times New Roman" w:cs="Times New Roman"/>
          <w:color w:val="000000" w:themeColor="text1"/>
          <w:sz w:val="28"/>
          <w:szCs w:val="32"/>
        </w:rPr>
      </w:pPr>
      <w:r w:rsidRPr="00CD5820">
        <w:rPr>
          <w:rFonts w:ascii="Times New Roman" w:hAnsi="Times New Roman" w:cs="Times New Roman"/>
          <w:color w:val="000000" w:themeColor="text1"/>
          <w:sz w:val="28"/>
          <w:szCs w:val="32"/>
        </w:rPr>
        <w:t>The stability of the stromal–vascular barrier phenotype was evaluated using feature-space projection, raw feature distributions, alternative score definitions, representative cores, correlation-module structure, and full feature-level high-versus-low effect sizes. These analyses support the interpretation that the barrier phenotype is a coordinated tissue-architecture state rather than a single-feature artifact.</w:t>
      </w:r>
    </w:p>
    <w:p w14:paraId="010653A1" w14:textId="0CC2C7D1" w:rsidR="00B84AB2" w:rsidRDefault="00904B8F" w:rsidP="00CD5820">
      <w:pPr>
        <w:snapToGrid w:val="0"/>
        <w:rPr>
          <w:rFonts w:ascii="Times New Roman" w:hAnsi="Times New Roman" w:cs="Times New Roman"/>
          <w:color w:val="000000" w:themeColor="text1"/>
          <w:sz w:val="28"/>
          <w:szCs w:val="32"/>
        </w:rPr>
      </w:pPr>
      <w:r>
        <w:rPr>
          <w:rFonts w:ascii="Times New Roman" w:hAnsi="Times New Roman" w:cs="Times New Roman"/>
          <w:noProof/>
          <w:color w:val="000000" w:themeColor="text1"/>
          <w:sz w:val="28"/>
          <w:szCs w:val="32"/>
        </w:rPr>
        <w:drawing>
          <wp:inline distT="0" distB="0" distL="0" distR="0" wp14:anchorId="7F0871A7" wp14:editId="22AE1E07">
            <wp:extent cx="5274310" cy="6032500"/>
            <wp:effectExtent l="0" t="0" r="0" b="0"/>
            <wp:docPr id="18882209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220974" name="图片 1888220974"/>
                    <pic:cNvPicPr/>
                  </pic:nvPicPr>
                  <pic:blipFill rotWithShape="1">
                    <a:blip r:embed="rId7"/>
                    <a:srcRect t="5834" b="14986"/>
                    <a:stretch>
                      <a:fillRect/>
                    </a:stretch>
                  </pic:blipFill>
                  <pic:spPr bwMode="auto">
                    <a:xfrm>
                      <a:off x="0" y="0"/>
                      <a:ext cx="5274310" cy="6032500"/>
                    </a:xfrm>
                    <a:prstGeom prst="rect">
                      <a:avLst/>
                    </a:prstGeom>
                    <a:ln>
                      <a:noFill/>
                    </a:ln>
                    <a:extLst>
                      <a:ext uri="{53640926-AAD7-44D8-BBD7-CCE9431645EC}">
                        <a14:shadowObscured xmlns:a14="http://schemas.microsoft.com/office/drawing/2010/main"/>
                      </a:ext>
                    </a:extLst>
                  </pic:spPr>
                </pic:pic>
              </a:graphicData>
            </a:graphic>
          </wp:inline>
        </w:drawing>
      </w:r>
    </w:p>
    <w:p w14:paraId="4CE01529" w14:textId="77777777" w:rsidR="00C23588" w:rsidRDefault="00C23588" w:rsidP="00CD5820">
      <w:pPr>
        <w:snapToGrid w:val="0"/>
        <w:rPr>
          <w:rFonts w:ascii="Times New Roman" w:hAnsi="Times New Roman" w:cs="Times New Roman"/>
          <w:color w:val="000000" w:themeColor="text1"/>
          <w:sz w:val="22"/>
          <w:szCs w:val="24"/>
        </w:rPr>
      </w:pPr>
    </w:p>
    <w:p w14:paraId="730DE84E" w14:textId="1B1F6899" w:rsidR="00C23588" w:rsidRDefault="00AA7E22" w:rsidP="00AA7E22">
      <w:pPr>
        <w:snapToGrid w:val="0"/>
        <w:rPr>
          <w:rFonts w:ascii="Times New Roman" w:hAnsi="Times New Roman" w:cs="Times New Roman"/>
          <w:color w:val="000000" w:themeColor="text1"/>
          <w:sz w:val="22"/>
          <w:szCs w:val="24"/>
        </w:rPr>
      </w:pPr>
      <w:r w:rsidRPr="00AA7E22">
        <w:rPr>
          <w:rFonts w:ascii="Times New Roman" w:hAnsi="Times New Roman" w:cs="Times New Roman"/>
          <w:color w:val="000000" w:themeColor="text1"/>
          <w:sz w:val="22"/>
          <w:szCs w:val="24"/>
        </w:rPr>
        <w:t xml:space="preserve">Supplementary Figure 1 </w:t>
      </w:r>
      <w:r w:rsidR="00C23588" w:rsidRPr="00C23588">
        <w:rPr>
          <w:rFonts w:ascii="Times New Roman" w:hAnsi="Times New Roman" w:cs="Times New Roman"/>
          <w:color w:val="000000" w:themeColor="text1"/>
          <w:sz w:val="22"/>
          <w:szCs w:val="24"/>
        </w:rPr>
        <w:t>(A) Feature-space projection of specimens colored by barrier group, supporting separation of low, intermediate, and high barrier states in the multivariate feature space. (B) Raw feature distributions across barrier groups, showing the underlying unstandardized cellular and spatial feature shifts. (C) Barrier score construction sensitivity analysis, comparing alternative score definitions with the final stromal–vascular barrier score. (D) Representative low- and high-barrier cores, linking visual morphology to measured stromal-vascular architecture. (</w:t>
      </w:r>
      <w:r>
        <w:rPr>
          <w:rFonts w:ascii="Times New Roman" w:hAnsi="Times New Roman" w:cs="Times New Roman" w:hint="eastAsia"/>
          <w:color w:val="000000" w:themeColor="text1"/>
          <w:sz w:val="22"/>
          <w:szCs w:val="24"/>
        </w:rPr>
        <w:t>E</w:t>
      </w:r>
      <w:r w:rsidR="00C23588" w:rsidRPr="00C23588">
        <w:rPr>
          <w:rFonts w:ascii="Times New Roman" w:hAnsi="Times New Roman" w:cs="Times New Roman"/>
          <w:color w:val="000000" w:themeColor="text1"/>
          <w:sz w:val="22"/>
          <w:szCs w:val="24"/>
        </w:rPr>
        <w:t xml:space="preserve">) Quantitative feature summary for the representative low- </w:t>
      </w:r>
      <w:r w:rsidR="00C23588" w:rsidRPr="00C23588">
        <w:rPr>
          <w:rFonts w:ascii="Times New Roman" w:hAnsi="Times New Roman" w:cs="Times New Roman"/>
          <w:color w:val="000000" w:themeColor="text1"/>
          <w:sz w:val="22"/>
          <w:szCs w:val="24"/>
        </w:rPr>
        <w:lastRenderedPageBreak/>
        <w:t>and high-barrier cores. (</w:t>
      </w:r>
      <w:r>
        <w:rPr>
          <w:rFonts w:ascii="Times New Roman" w:hAnsi="Times New Roman" w:cs="Times New Roman" w:hint="eastAsia"/>
          <w:color w:val="000000" w:themeColor="text1"/>
          <w:sz w:val="22"/>
          <w:szCs w:val="24"/>
        </w:rPr>
        <w:t>F</w:t>
      </w:r>
      <w:r w:rsidR="00C23588" w:rsidRPr="00C23588">
        <w:rPr>
          <w:rFonts w:ascii="Times New Roman" w:hAnsi="Times New Roman" w:cs="Times New Roman"/>
          <w:color w:val="000000" w:themeColor="text1"/>
          <w:sz w:val="22"/>
          <w:szCs w:val="24"/>
        </w:rPr>
        <w:t>) Correlation-module robustness of barrier features, summarizing within- and between-module coherence. (</w:t>
      </w:r>
      <w:r>
        <w:rPr>
          <w:rFonts w:ascii="Times New Roman" w:hAnsi="Times New Roman" w:cs="Times New Roman" w:hint="eastAsia"/>
          <w:color w:val="000000" w:themeColor="text1"/>
          <w:sz w:val="22"/>
          <w:szCs w:val="24"/>
        </w:rPr>
        <w:t>G</w:t>
      </w:r>
      <w:r w:rsidR="00C23588" w:rsidRPr="00C23588">
        <w:rPr>
          <w:rFonts w:ascii="Times New Roman" w:hAnsi="Times New Roman" w:cs="Times New Roman"/>
          <w:color w:val="000000" w:themeColor="text1"/>
          <w:sz w:val="22"/>
          <w:szCs w:val="24"/>
        </w:rPr>
        <w:t xml:space="preserve">) Full high-versus-low feature effect-size forest plot. Points indicate Cohen's d for high minus low barrier groups; horizontal lines indicate bootstrap 95% confidence intervals. FDR q-values represent Benjamini-Hochberg-adjusted p-values across tested features. </w:t>
      </w:r>
    </w:p>
    <w:p w14:paraId="3FE81255" w14:textId="45142AD5" w:rsidR="00AA7E22" w:rsidRDefault="003F17FF" w:rsidP="003F17FF">
      <w:pPr>
        <w:widowControl/>
        <w:jc w:val="left"/>
        <w:rPr>
          <w:rFonts w:ascii="Times New Roman" w:hAnsi="Times New Roman" w:cs="Times New Roman"/>
          <w:color w:val="000000" w:themeColor="text1"/>
          <w:sz w:val="22"/>
          <w:szCs w:val="24"/>
        </w:rPr>
      </w:pPr>
      <w:r>
        <w:rPr>
          <w:rFonts w:ascii="Times New Roman" w:hAnsi="Times New Roman" w:cs="Times New Roman"/>
          <w:color w:val="000000" w:themeColor="text1"/>
          <w:sz w:val="22"/>
          <w:szCs w:val="24"/>
        </w:rPr>
        <w:br w:type="page"/>
      </w:r>
      <w:bookmarkStart w:id="0" w:name="_GoBack"/>
      <w:bookmarkEnd w:id="0"/>
    </w:p>
    <w:p w14:paraId="38D1D16B" w14:textId="0CA362B1" w:rsidR="00CD5820" w:rsidRPr="00CD5820" w:rsidRDefault="00CD5820" w:rsidP="00CD5820">
      <w:pPr>
        <w:snapToGrid w:val="0"/>
        <w:rPr>
          <w:rFonts w:ascii="Times New Roman" w:hAnsi="Times New Roman" w:cs="Times New Roman"/>
          <w:b/>
          <w:bCs/>
          <w:color w:val="000000" w:themeColor="text1"/>
          <w:sz w:val="28"/>
          <w:szCs w:val="32"/>
        </w:rPr>
      </w:pPr>
      <w:r w:rsidRPr="00CD5820">
        <w:rPr>
          <w:rFonts w:ascii="Times New Roman" w:hAnsi="Times New Roman" w:cs="Times New Roman"/>
          <w:b/>
          <w:bCs/>
          <w:color w:val="000000" w:themeColor="text1"/>
          <w:sz w:val="28"/>
          <w:szCs w:val="32"/>
        </w:rPr>
        <w:lastRenderedPageBreak/>
        <w:t xml:space="preserve">Supplementary </w:t>
      </w:r>
      <w:r w:rsidRPr="00CD5820">
        <w:rPr>
          <w:rFonts w:ascii="Times New Roman" w:hAnsi="Times New Roman" w:cs="Times New Roman" w:hint="eastAsia"/>
          <w:b/>
          <w:bCs/>
          <w:color w:val="000000" w:themeColor="text1"/>
          <w:sz w:val="28"/>
          <w:szCs w:val="32"/>
        </w:rPr>
        <w:t>Figure</w:t>
      </w:r>
      <w:r w:rsidRPr="00CD5820">
        <w:rPr>
          <w:rFonts w:ascii="Times New Roman" w:hAnsi="Times New Roman" w:cs="Times New Roman"/>
          <w:b/>
          <w:bCs/>
          <w:color w:val="000000" w:themeColor="text1"/>
          <w:sz w:val="28"/>
          <w:szCs w:val="32"/>
        </w:rPr>
        <w:t xml:space="preserve"> </w:t>
      </w:r>
      <w:r>
        <w:rPr>
          <w:rFonts w:ascii="Times New Roman" w:hAnsi="Times New Roman" w:cs="Times New Roman"/>
          <w:b/>
          <w:bCs/>
          <w:color w:val="000000" w:themeColor="text1"/>
          <w:sz w:val="28"/>
          <w:szCs w:val="32"/>
        </w:rPr>
        <w:t>2</w:t>
      </w:r>
      <w:r>
        <w:rPr>
          <w:rFonts w:ascii="Times New Roman" w:hAnsi="Times New Roman" w:cs="Times New Roman" w:hint="eastAsia"/>
          <w:b/>
          <w:bCs/>
          <w:color w:val="000000" w:themeColor="text1"/>
          <w:sz w:val="28"/>
          <w:szCs w:val="32"/>
        </w:rPr>
        <w:t>：</w:t>
      </w:r>
      <w:r w:rsidRPr="00CD5820">
        <w:rPr>
          <w:rFonts w:ascii="Times New Roman" w:hAnsi="Times New Roman" w:cs="Times New Roman"/>
          <w:b/>
          <w:bCs/>
          <w:color w:val="000000" w:themeColor="text1"/>
          <w:sz w:val="28"/>
          <w:szCs w:val="32"/>
        </w:rPr>
        <w:t>Immune association robustness</w:t>
      </w:r>
      <w:r>
        <w:rPr>
          <w:rFonts w:ascii="Times New Roman" w:hAnsi="Times New Roman" w:cs="Times New Roman" w:hint="eastAsia"/>
          <w:b/>
          <w:bCs/>
          <w:color w:val="000000" w:themeColor="text1"/>
          <w:sz w:val="28"/>
          <w:szCs w:val="32"/>
        </w:rPr>
        <w:t>:</w:t>
      </w:r>
    </w:p>
    <w:p w14:paraId="645BBC74" w14:textId="261FCCA4" w:rsidR="00CD5820" w:rsidRDefault="00CD5820" w:rsidP="00CD5820">
      <w:pPr>
        <w:snapToGrid w:val="0"/>
        <w:rPr>
          <w:rFonts w:ascii="Times New Roman" w:hAnsi="Times New Roman" w:cs="Times New Roman"/>
          <w:color w:val="000000" w:themeColor="text1"/>
          <w:sz w:val="28"/>
          <w:szCs w:val="32"/>
        </w:rPr>
      </w:pPr>
      <w:r w:rsidRPr="00CD5820">
        <w:rPr>
          <w:rFonts w:ascii="Times New Roman" w:hAnsi="Times New Roman" w:cs="Times New Roman"/>
          <w:color w:val="000000" w:themeColor="text1"/>
          <w:sz w:val="28"/>
          <w:szCs w:val="32"/>
        </w:rPr>
        <w:t>Extended immune analyses included the full immune-feature association matrix, TMA-stratified association robustness, spatial cutoff sensitivity, and covariate-adjusted immune association models. These analyses support the main finding that the barrier phenotype is linked to immune-context remodeling and spatial CD8 organization.</w:t>
      </w:r>
    </w:p>
    <w:p w14:paraId="28E4473F" w14:textId="77777777" w:rsidR="00CD5820" w:rsidRPr="00CD5820" w:rsidRDefault="00CD5820" w:rsidP="00CD5820">
      <w:pPr>
        <w:snapToGrid w:val="0"/>
        <w:rPr>
          <w:rFonts w:ascii="Times New Roman" w:hAnsi="Times New Roman" w:cs="Times New Roman"/>
          <w:color w:val="000000" w:themeColor="text1"/>
          <w:sz w:val="28"/>
          <w:szCs w:val="32"/>
        </w:rPr>
      </w:pPr>
    </w:p>
    <w:p w14:paraId="2E598C07" w14:textId="117E06AA" w:rsidR="00CD5820" w:rsidRDefault="00904B8F" w:rsidP="00CD5820">
      <w:pPr>
        <w:snapToGrid w:val="0"/>
        <w:rPr>
          <w:rFonts w:ascii="Times New Roman" w:hAnsi="Times New Roman" w:cs="Times New Roman"/>
          <w:color w:val="000000" w:themeColor="text1"/>
          <w:sz w:val="28"/>
          <w:szCs w:val="32"/>
        </w:rPr>
      </w:pPr>
      <w:r>
        <w:rPr>
          <w:rFonts w:ascii="Times New Roman" w:hAnsi="Times New Roman" w:cs="Times New Roman"/>
          <w:noProof/>
          <w:color w:val="000000" w:themeColor="text1"/>
          <w:sz w:val="28"/>
          <w:szCs w:val="32"/>
        </w:rPr>
        <w:drawing>
          <wp:inline distT="0" distB="0" distL="0" distR="0" wp14:anchorId="2AD25B89" wp14:editId="4103B2E0">
            <wp:extent cx="5274310" cy="2908300"/>
            <wp:effectExtent l="0" t="0" r="0" b="0"/>
            <wp:docPr id="11607466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46666" name="图片 1160746666"/>
                    <pic:cNvPicPr/>
                  </pic:nvPicPr>
                  <pic:blipFill rotWithShape="1">
                    <a:blip r:embed="rId8"/>
                    <a:srcRect t="7502" b="54326"/>
                    <a:stretch>
                      <a:fillRect/>
                    </a:stretch>
                  </pic:blipFill>
                  <pic:spPr bwMode="auto">
                    <a:xfrm>
                      <a:off x="0" y="0"/>
                      <a:ext cx="5274310" cy="2908300"/>
                    </a:xfrm>
                    <a:prstGeom prst="rect">
                      <a:avLst/>
                    </a:prstGeom>
                    <a:ln>
                      <a:noFill/>
                    </a:ln>
                    <a:extLst>
                      <a:ext uri="{53640926-AAD7-44D8-BBD7-CCE9431645EC}">
                        <a14:shadowObscured xmlns:a14="http://schemas.microsoft.com/office/drawing/2010/main"/>
                      </a:ext>
                    </a:extLst>
                  </pic:spPr>
                </pic:pic>
              </a:graphicData>
            </a:graphic>
          </wp:inline>
        </w:drawing>
      </w:r>
    </w:p>
    <w:p w14:paraId="29BF259D" w14:textId="2512C5AA" w:rsidR="00B84AB2" w:rsidRDefault="00B84AB2" w:rsidP="00CD5820">
      <w:pPr>
        <w:snapToGrid w:val="0"/>
        <w:rPr>
          <w:rFonts w:ascii="Times New Roman" w:hAnsi="Times New Roman" w:cs="Times New Roman"/>
          <w:color w:val="000000" w:themeColor="text1"/>
          <w:sz w:val="28"/>
          <w:szCs w:val="32"/>
        </w:rPr>
      </w:pPr>
    </w:p>
    <w:p w14:paraId="5C35C520" w14:textId="786DEE05" w:rsidR="00B84AB2" w:rsidRPr="00B84AB2" w:rsidRDefault="00B84AB2" w:rsidP="00B84AB2">
      <w:pPr>
        <w:snapToGrid w:val="0"/>
        <w:rPr>
          <w:rFonts w:ascii="Times New Roman" w:hAnsi="Times New Roman" w:cs="Times New Roman"/>
          <w:color w:val="000000" w:themeColor="text1"/>
          <w:sz w:val="22"/>
          <w:szCs w:val="24"/>
        </w:rPr>
      </w:pPr>
      <w:r w:rsidRPr="00B84AB2">
        <w:rPr>
          <w:rFonts w:ascii="Times New Roman" w:hAnsi="Times New Roman" w:cs="Times New Roman"/>
          <w:color w:val="000000" w:themeColor="text1"/>
          <w:sz w:val="22"/>
          <w:szCs w:val="24"/>
        </w:rPr>
        <w:t xml:space="preserve">Supplementary Figure </w:t>
      </w:r>
      <w:r w:rsidR="00C23588">
        <w:rPr>
          <w:rFonts w:ascii="Times New Roman" w:hAnsi="Times New Roman" w:cs="Times New Roman"/>
          <w:color w:val="000000" w:themeColor="text1"/>
          <w:sz w:val="22"/>
          <w:szCs w:val="24"/>
        </w:rPr>
        <w:t>2</w:t>
      </w:r>
      <w:r w:rsidRPr="00B84AB2">
        <w:rPr>
          <w:rFonts w:ascii="Times New Roman" w:hAnsi="Times New Roman" w:cs="Times New Roman"/>
          <w:color w:val="000000" w:themeColor="text1"/>
          <w:sz w:val="22"/>
          <w:szCs w:val="24"/>
        </w:rPr>
        <w:t>. Extended immune association and spatial robustness analyses.</w:t>
      </w:r>
      <w:r w:rsidRPr="00B84AB2">
        <w:rPr>
          <w:rFonts w:ascii="Times New Roman" w:hAnsi="Times New Roman" w:cs="Times New Roman" w:hint="eastAsia"/>
          <w:color w:val="000000" w:themeColor="text1"/>
          <w:sz w:val="22"/>
          <w:szCs w:val="24"/>
        </w:rPr>
        <w:t xml:space="preserve"> </w:t>
      </w:r>
      <w:r w:rsidRPr="00B84AB2">
        <w:rPr>
          <w:rFonts w:ascii="Times New Roman" w:hAnsi="Times New Roman" w:cs="Times New Roman"/>
          <w:color w:val="000000" w:themeColor="text1"/>
          <w:sz w:val="22"/>
          <w:szCs w:val="24"/>
        </w:rPr>
        <w:t>(A) Full immune-feature association matrix showing Spearman correlations between stromal–vascular barrier score and immune-context features. FDR q-values represent Benjamini-Hochberg-adjusted p-values across immune features. (B) TMA-stratified robustness analysis of selected barrier-immune associations, showing whether correlations are consistent across TMA batches. (C) Spatial cutoff sensitivity analysis, evaluating whether high-versus-low near-CD8 enrichment differences are robust to alternative barrier group cutoffs. (D) Covariate-adjusted immune association robustness, showing adjusted standardized beta coefficients and 95% confidence intervals for immune features associated with the barrier score.</w:t>
      </w:r>
    </w:p>
    <w:p w14:paraId="258B43ED" w14:textId="77777777" w:rsidR="00B84AB2" w:rsidRPr="00CD5820" w:rsidRDefault="00B84AB2" w:rsidP="00CD5820">
      <w:pPr>
        <w:snapToGrid w:val="0"/>
        <w:rPr>
          <w:rFonts w:ascii="Times New Roman" w:hAnsi="Times New Roman" w:cs="Times New Roman"/>
          <w:color w:val="000000" w:themeColor="text1"/>
          <w:sz w:val="28"/>
          <w:szCs w:val="32"/>
        </w:rPr>
      </w:pPr>
    </w:p>
    <w:p w14:paraId="33D1B6A0" w14:textId="41AEFEE2" w:rsidR="00CD5820" w:rsidRDefault="00CD5820">
      <w:pPr>
        <w:widowControl/>
        <w:jc w:val="left"/>
        <w:rPr>
          <w:rFonts w:ascii="Times New Roman" w:hAnsi="Times New Roman" w:cs="Times New Roman"/>
          <w:color w:val="000000" w:themeColor="text1"/>
          <w:sz w:val="28"/>
          <w:szCs w:val="32"/>
        </w:rPr>
      </w:pPr>
      <w:r>
        <w:rPr>
          <w:rFonts w:ascii="Times New Roman" w:hAnsi="Times New Roman" w:cs="Times New Roman"/>
          <w:color w:val="000000" w:themeColor="text1"/>
          <w:sz w:val="28"/>
          <w:szCs w:val="32"/>
        </w:rPr>
        <w:br w:type="page"/>
      </w:r>
    </w:p>
    <w:p w14:paraId="71A3F60B" w14:textId="471FF643" w:rsidR="00CD5820" w:rsidRPr="00CD5820" w:rsidRDefault="00CD5820" w:rsidP="00CD5820">
      <w:pPr>
        <w:snapToGrid w:val="0"/>
        <w:rPr>
          <w:rFonts w:ascii="Times New Roman" w:hAnsi="Times New Roman" w:cs="Times New Roman"/>
          <w:b/>
          <w:bCs/>
          <w:color w:val="000000" w:themeColor="text1"/>
          <w:sz w:val="28"/>
          <w:szCs w:val="32"/>
        </w:rPr>
      </w:pPr>
      <w:r w:rsidRPr="00CD5820">
        <w:rPr>
          <w:rFonts w:ascii="Times New Roman" w:hAnsi="Times New Roman" w:cs="Times New Roman"/>
          <w:b/>
          <w:bCs/>
          <w:color w:val="000000" w:themeColor="text1"/>
          <w:sz w:val="28"/>
          <w:szCs w:val="32"/>
        </w:rPr>
        <w:lastRenderedPageBreak/>
        <w:t xml:space="preserve">Supplementary </w:t>
      </w:r>
      <w:r w:rsidRPr="00CD5820">
        <w:rPr>
          <w:rFonts w:ascii="Times New Roman" w:hAnsi="Times New Roman" w:cs="Times New Roman" w:hint="eastAsia"/>
          <w:b/>
          <w:bCs/>
          <w:color w:val="000000" w:themeColor="text1"/>
          <w:sz w:val="28"/>
          <w:szCs w:val="32"/>
        </w:rPr>
        <w:t>Figure</w:t>
      </w:r>
      <w:r w:rsidRPr="00CD5820">
        <w:rPr>
          <w:rFonts w:ascii="Times New Roman" w:hAnsi="Times New Roman" w:cs="Times New Roman"/>
          <w:b/>
          <w:bCs/>
          <w:color w:val="000000" w:themeColor="text1"/>
          <w:sz w:val="28"/>
          <w:szCs w:val="32"/>
        </w:rPr>
        <w:t xml:space="preserve"> 3</w:t>
      </w:r>
      <w:r w:rsidRPr="00CD5820">
        <w:rPr>
          <w:rFonts w:ascii="Times New Roman" w:hAnsi="Times New Roman" w:cs="Times New Roman" w:hint="eastAsia"/>
          <w:b/>
          <w:bCs/>
          <w:color w:val="000000" w:themeColor="text1"/>
          <w:sz w:val="28"/>
          <w:szCs w:val="32"/>
        </w:rPr>
        <w:t>：</w:t>
      </w:r>
      <w:r w:rsidRPr="00CD5820">
        <w:rPr>
          <w:rFonts w:ascii="Times New Roman" w:hAnsi="Times New Roman" w:cs="Times New Roman"/>
          <w:b/>
          <w:bCs/>
          <w:color w:val="000000" w:themeColor="text1"/>
          <w:sz w:val="28"/>
          <w:szCs w:val="32"/>
        </w:rPr>
        <w:t>Clinical modeling robustness</w:t>
      </w:r>
    </w:p>
    <w:p w14:paraId="3A22E674" w14:textId="1D2261ED" w:rsidR="00CD5820" w:rsidRPr="00CD5820" w:rsidRDefault="00CD5820" w:rsidP="00CD5820">
      <w:pPr>
        <w:snapToGrid w:val="0"/>
        <w:rPr>
          <w:rFonts w:ascii="Times New Roman" w:hAnsi="Times New Roman" w:cs="Times New Roman"/>
          <w:color w:val="000000" w:themeColor="text1"/>
          <w:sz w:val="28"/>
          <w:szCs w:val="32"/>
        </w:rPr>
      </w:pPr>
      <w:r w:rsidRPr="00CD5820">
        <w:rPr>
          <w:rFonts w:ascii="Times New Roman" w:hAnsi="Times New Roman" w:cs="Times New Roman"/>
          <w:color w:val="000000" w:themeColor="text1"/>
          <w:sz w:val="28"/>
          <w:szCs w:val="32"/>
        </w:rPr>
        <w:t>Clinical robustness analyses included clinical covariate availability, univariate clinical associations, coefficient stability across clinical model specifications, bootstrap model performance, and event burden by barrier group. These analyses support the interpretation that the stromal–vascular barrier score provides clinical information complementary to standard clinicopathologic variables.</w:t>
      </w:r>
    </w:p>
    <w:p w14:paraId="3694341B" w14:textId="1CD895E6" w:rsidR="00B84AB2" w:rsidRDefault="00904B8F" w:rsidP="00CD5820">
      <w:pPr>
        <w:snapToGrid w:val="0"/>
        <w:rPr>
          <w:rFonts w:ascii="Times New Roman" w:hAnsi="Times New Roman" w:cs="Times New Roman"/>
          <w:color w:val="000000" w:themeColor="text1"/>
          <w:sz w:val="28"/>
          <w:szCs w:val="32"/>
        </w:rPr>
      </w:pPr>
      <w:r>
        <w:rPr>
          <w:rFonts w:ascii="Times New Roman" w:hAnsi="Times New Roman" w:cs="Times New Roman"/>
          <w:noProof/>
          <w:color w:val="000000" w:themeColor="text1"/>
          <w:sz w:val="28"/>
          <w:szCs w:val="32"/>
        </w:rPr>
        <w:drawing>
          <wp:inline distT="0" distB="0" distL="0" distR="0" wp14:anchorId="3BFB6B80" wp14:editId="02311626">
            <wp:extent cx="5274310" cy="5016500"/>
            <wp:effectExtent l="0" t="0" r="0" b="0"/>
            <wp:docPr id="73241747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17476" name="图片 732417476"/>
                    <pic:cNvPicPr/>
                  </pic:nvPicPr>
                  <pic:blipFill rotWithShape="1">
                    <a:blip r:embed="rId9"/>
                    <a:srcRect t="6502" b="27655"/>
                    <a:stretch>
                      <a:fillRect/>
                    </a:stretch>
                  </pic:blipFill>
                  <pic:spPr bwMode="auto">
                    <a:xfrm>
                      <a:off x="0" y="0"/>
                      <a:ext cx="5274310" cy="5016500"/>
                    </a:xfrm>
                    <a:prstGeom prst="rect">
                      <a:avLst/>
                    </a:prstGeom>
                    <a:ln>
                      <a:noFill/>
                    </a:ln>
                    <a:extLst>
                      <a:ext uri="{53640926-AAD7-44D8-BBD7-CCE9431645EC}">
                        <a14:shadowObscured xmlns:a14="http://schemas.microsoft.com/office/drawing/2010/main"/>
                      </a:ext>
                    </a:extLst>
                  </pic:spPr>
                </pic:pic>
              </a:graphicData>
            </a:graphic>
          </wp:inline>
        </w:drawing>
      </w:r>
    </w:p>
    <w:p w14:paraId="7EFCE588" w14:textId="46FE85B9" w:rsidR="00B84AB2" w:rsidRDefault="00B84AB2" w:rsidP="00CD5820">
      <w:pPr>
        <w:snapToGrid w:val="0"/>
        <w:rPr>
          <w:rFonts w:ascii="Times New Roman" w:hAnsi="Times New Roman" w:cs="Times New Roman"/>
          <w:color w:val="000000" w:themeColor="text1"/>
          <w:sz w:val="28"/>
          <w:szCs w:val="32"/>
        </w:rPr>
      </w:pPr>
    </w:p>
    <w:p w14:paraId="1298EB11" w14:textId="423633B4" w:rsidR="00B84AB2" w:rsidRDefault="00B84AB2" w:rsidP="00B84AB2">
      <w:pPr>
        <w:snapToGrid w:val="0"/>
        <w:rPr>
          <w:rFonts w:ascii="Times New Roman" w:hAnsi="Times New Roman" w:cs="Times New Roman"/>
          <w:color w:val="000000" w:themeColor="text1"/>
          <w:sz w:val="22"/>
          <w:szCs w:val="24"/>
        </w:rPr>
      </w:pPr>
      <w:r w:rsidRPr="00B84AB2">
        <w:rPr>
          <w:rFonts w:ascii="Times New Roman" w:hAnsi="Times New Roman" w:cs="Times New Roman"/>
          <w:color w:val="000000" w:themeColor="text1"/>
          <w:sz w:val="22"/>
          <w:szCs w:val="24"/>
        </w:rPr>
        <w:t xml:space="preserve">Supplementary Figure </w:t>
      </w:r>
      <w:r w:rsidR="00C23588">
        <w:rPr>
          <w:rFonts w:ascii="Times New Roman" w:hAnsi="Times New Roman" w:cs="Times New Roman"/>
          <w:color w:val="000000" w:themeColor="text1"/>
          <w:sz w:val="22"/>
          <w:szCs w:val="24"/>
        </w:rPr>
        <w:t>3</w:t>
      </w:r>
      <w:r w:rsidRPr="00B84AB2">
        <w:rPr>
          <w:rFonts w:ascii="Times New Roman" w:hAnsi="Times New Roman" w:cs="Times New Roman"/>
          <w:color w:val="000000" w:themeColor="text1"/>
          <w:sz w:val="22"/>
          <w:szCs w:val="24"/>
        </w:rPr>
        <w:t>. Clinical transparency and model robustness analyses.</w:t>
      </w:r>
      <w:r w:rsidR="00EC6E16">
        <w:rPr>
          <w:rFonts w:ascii="Times New Roman" w:hAnsi="Times New Roman" w:cs="Times New Roman" w:hint="eastAsia"/>
          <w:color w:val="000000" w:themeColor="text1"/>
          <w:sz w:val="22"/>
          <w:szCs w:val="24"/>
        </w:rPr>
        <w:t xml:space="preserve"> </w:t>
      </w:r>
      <w:r w:rsidRPr="00B84AB2">
        <w:rPr>
          <w:rFonts w:ascii="Times New Roman" w:hAnsi="Times New Roman" w:cs="Times New Roman"/>
          <w:color w:val="000000" w:themeColor="text1"/>
          <w:sz w:val="22"/>
          <w:szCs w:val="24"/>
        </w:rPr>
        <w:t xml:space="preserve">(A) Availability of clinical covariates used in the clinical association analyses. (B) Univariate clinical associations between stromal–vascular barrier score and clinicopathologic endpoints; points indicate odds ratios and horizontal lines indicate 95% confidence intervals. (C) Barrier coefficient stability across model specifications, showing log odds ratios for stromal–vascular barrier score under alternative clinical adjustment sets. (D) Bootstrap model performance comparing clinical-only and clinical-plus-barrier models; points indicate median AUC and horizontal intervals indicate bootstrap 95% intervals. (E) Clinical event burden by barrier group, showing event rates for nodal involvement, metastasis, </w:t>
      </w:r>
      <w:proofErr w:type="spellStart"/>
      <w:r w:rsidRPr="00B84AB2">
        <w:rPr>
          <w:rFonts w:ascii="Times New Roman" w:hAnsi="Times New Roman" w:cs="Times New Roman"/>
          <w:color w:val="000000" w:themeColor="text1"/>
          <w:sz w:val="22"/>
          <w:szCs w:val="24"/>
        </w:rPr>
        <w:t>lymphovascular</w:t>
      </w:r>
      <w:proofErr w:type="spellEnd"/>
      <w:r w:rsidRPr="00B84AB2">
        <w:rPr>
          <w:rFonts w:ascii="Times New Roman" w:hAnsi="Times New Roman" w:cs="Times New Roman"/>
          <w:color w:val="000000" w:themeColor="text1"/>
          <w:sz w:val="22"/>
          <w:szCs w:val="24"/>
        </w:rPr>
        <w:t xml:space="preserve"> invasion, and </w:t>
      </w:r>
      <w:proofErr w:type="spellStart"/>
      <w:r w:rsidRPr="00B84AB2">
        <w:rPr>
          <w:rFonts w:ascii="Times New Roman" w:hAnsi="Times New Roman" w:cs="Times New Roman"/>
          <w:color w:val="000000" w:themeColor="text1"/>
          <w:sz w:val="22"/>
          <w:szCs w:val="24"/>
        </w:rPr>
        <w:t>perineural</w:t>
      </w:r>
      <w:proofErr w:type="spellEnd"/>
      <w:r w:rsidRPr="00B84AB2">
        <w:rPr>
          <w:rFonts w:ascii="Times New Roman" w:hAnsi="Times New Roman" w:cs="Times New Roman"/>
          <w:color w:val="000000" w:themeColor="text1"/>
          <w:sz w:val="22"/>
          <w:szCs w:val="24"/>
        </w:rPr>
        <w:t xml:space="preserve"> invasion.</w:t>
      </w:r>
    </w:p>
    <w:p w14:paraId="119343ED" w14:textId="77777777" w:rsidR="00B84AB2" w:rsidRDefault="00B84AB2" w:rsidP="00B84AB2">
      <w:pPr>
        <w:snapToGrid w:val="0"/>
        <w:rPr>
          <w:rFonts w:ascii="Times New Roman" w:hAnsi="Times New Roman" w:cs="Times New Roman"/>
          <w:color w:val="000000" w:themeColor="text1"/>
          <w:sz w:val="22"/>
          <w:szCs w:val="24"/>
        </w:rPr>
      </w:pPr>
    </w:p>
    <w:p w14:paraId="0C642922" w14:textId="77777777" w:rsidR="00904B8F" w:rsidRDefault="00904B8F" w:rsidP="00B84AB2">
      <w:pPr>
        <w:snapToGrid w:val="0"/>
        <w:rPr>
          <w:rFonts w:ascii="Times New Roman" w:hAnsi="Times New Roman" w:cs="Times New Roman"/>
          <w:color w:val="000000" w:themeColor="text1"/>
          <w:sz w:val="22"/>
          <w:szCs w:val="24"/>
        </w:rPr>
      </w:pPr>
    </w:p>
    <w:p w14:paraId="3D89D5E2" w14:textId="77777777" w:rsidR="00904B8F" w:rsidRPr="00B84AB2" w:rsidRDefault="00904B8F" w:rsidP="00B84AB2">
      <w:pPr>
        <w:snapToGrid w:val="0"/>
        <w:rPr>
          <w:rFonts w:ascii="Times New Roman" w:hAnsi="Times New Roman" w:cs="Times New Roman"/>
          <w:color w:val="000000" w:themeColor="text1"/>
          <w:sz w:val="22"/>
          <w:szCs w:val="24"/>
        </w:rPr>
      </w:pPr>
    </w:p>
    <w:p w14:paraId="6D619BE0" w14:textId="05B8837C" w:rsidR="00CD5820" w:rsidRPr="00CD5820" w:rsidRDefault="00CD5820" w:rsidP="00B84AB2">
      <w:pPr>
        <w:snapToGrid w:val="0"/>
        <w:rPr>
          <w:rFonts w:ascii="Times New Roman" w:hAnsi="Times New Roman" w:cs="Times New Roman"/>
          <w:color w:val="000000" w:themeColor="text1"/>
          <w:sz w:val="28"/>
          <w:szCs w:val="32"/>
        </w:rPr>
      </w:pPr>
      <w:r w:rsidRPr="00CD5820">
        <w:rPr>
          <w:rFonts w:ascii="Times New Roman" w:hAnsi="Times New Roman" w:cs="Times New Roman"/>
          <w:b/>
          <w:bCs/>
          <w:color w:val="000000" w:themeColor="text1"/>
          <w:sz w:val="28"/>
          <w:szCs w:val="32"/>
        </w:rPr>
        <w:lastRenderedPageBreak/>
        <w:t xml:space="preserve">Supplementary </w:t>
      </w:r>
      <w:r w:rsidRPr="00CD5820">
        <w:rPr>
          <w:rFonts w:ascii="Times New Roman" w:hAnsi="Times New Roman" w:cs="Times New Roman" w:hint="eastAsia"/>
          <w:b/>
          <w:bCs/>
          <w:color w:val="000000" w:themeColor="text1"/>
          <w:sz w:val="28"/>
          <w:szCs w:val="32"/>
        </w:rPr>
        <w:t>Figure</w:t>
      </w:r>
      <w:r w:rsidRPr="00CD5820">
        <w:rPr>
          <w:rFonts w:ascii="Times New Roman" w:hAnsi="Times New Roman" w:cs="Times New Roman"/>
          <w:b/>
          <w:bCs/>
          <w:color w:val="000000" w:themeColor="text1"/>
          <w:sz w:val="28"/>
          <w:szCs w:val="32"/>
        </w:rPr>
        <w:t xml:space="preserve"> 4: Cross-cancer sensitivity</w:t>
      </w:r>
    </w:p>
    <w:p w14:paraId="54A5E453" w14:textId="4B13952B" w:rsidR="00CD5820" w:rsidRPr="00CD5820" w:rsidRDefault="00CD5820" w:rsidP="00CD5820">
      <w:pPr>
        <w:snapToGrid w:val="0"/>
        <w:rPr>
          <w:rFonts w:ascii="Times New Roman" w:hAnsi="Times New Roman" w:cs="Times New Roman"/>
          <w:color w:val="000000" w:themeColor="text1"/>
          <w:sz w:val="28"/>
          <w:szCs w:val="32"/>
        </w:rPr>
      </w:pPr>
      <w:r w:rsidRPr="00CD5820">
        <w:rPr>
          <w:rFonts w:ascii="Times New Roman" w:hAnsi="Times New Roman" w:cs="Times New Roman"/>
          <w:color w:val="000000" w:themeColor="text1"/>
          <w:sz w:val="28"/>
          <w:szCs w:val="32"/>
        </w:rPr>
        <w:t>Cross-cancer sensitivity analyses evaluated cohort transparency, full feature-concordance structure, score distribution by tumor type, analytic-variable availability, and sensitivity to excluding low-sample-size tumor lineages. The conserved directionality of feature coupling supports cross-cancer recurrence of a barrier-like niche.</w:t>
      </w:r>
    </w:p>
    <w:p w14:paraId="562E2963" w14:textId="0CCD9F77" w:rsidR="00B84AB2" w:rsidRPr="00431E23" w:rsidRDefault="00904B8F" w:rsidP="00431E23">
      <w:pPr>
        <w:snapToGrid w:val="0"/>
        <w:rPr>
          <w:rFonts w:ascii="Times New Roman" w:hAnsi="Times New Roman" w:cs="Times New Roman"/>
          <w:color w:val="000000" w:themeColor="text1"/>
          <w:sz w:val="28"/>
          <w:szCs w:val="32"/>
        </w:rPr>
      </w:pPr>
      <w:r>
        <w:rPr>
          <w:rFonts w:ascii="Times New Roman" w:hAnsi="Times New Roman" w:cs="Times New Roman"/>
          <w:noProof/>
          <w:color w:val="000000" w:themeColor="text1"/>
          <w:sz w:val="28"/>
          <w:szCs w:val="32"/>
        </w:rPr>
        <w:drawing>
          <wp:inline distT="0" distB="0" distL="0" distR="0" wp14:anchorId="476B444A" wp14:editId="0262F3E6">
            <wp:extent cx="5274310" cy="5270500"/>
            <wp:effectExtent l="0" t="0" r="0" b="0"/>
            <wp:docPr id="199712607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26075" name="图片 1997126075"/>
                    <pic:cNvPicPr/>
                  </pic:nvPicPr>
                  <pic:blipFill rotWithShape="1">
                    <a:blip r:embed="rId10"/>
                    <a:srcRect t="7668" b="23154"/>
                    <a:stretch>
                      <a:fillRect/>
                    </a:stretch>
                  </pic:blipFill>
                  <pic:spPr bwMode="auto">
                    <a:xfrm>
                      <a:off x="0" y="0"/>
                      <a:ext cx="5274310" cy="5270500"/>
                    </a:xfrm>
                    <a:prstGeom prst="rect">
                      <a:avLst/>
                    </a:prstGeom>
                    <a:ln>
                      <a:noFill/>
                    </a:ln>
                    <a:extLst>
                      <a:ext uri="{53640926-AAD7-44D8-BBD7-CCE9431645EC}">
                        <a14:shadowObscured xmlns:a14="http://schemas.microsoft.com/office/drawing/2010/main"/>
                      </a:ext>
                    </a:extLst>
                  </pic:spPr>
                </pic:pic>
              </a:graphicData>
            </a:graphic>
          </wp:inline>
        </w:drawing>
      </w:r>
    </w:p>
    <w:p w14:paraId="39308F1B" w14:textId="52657C5A" w:rsidR="00AA7E22" w:rsidRDefault="00B84AB2" w:rsidP="00AA7E22">
      <w:pPr>
        <w:widowControl/>
        <w:jc w:val="left"/>
        <w:rPr>
          <w:rFonts w:ascii="Times New Roman" w:hAnsi="Times New Roman" w:cs="Times New Roman"/>
          <w:color w:val="000000" w:themeColor="text1"/>
          <w:sz w:val="22"/>
          <w:szCs w:val="24"/>
        </w:rPr>
      </w:pPr>
      <w:r w:rsidRPr="00B84AB2">
        <w:rPr>
          <w:rFonts w:ascii="Times New Roman" w:hAnsi="Times New Roman" w:cs="Times New Roman"/>
          <w:color w:val="000000" w:themeColor="text1"/>
          <w:sz w:val="22"/>
          <w:szCs w:val="24"/>
        </w:rPr>
        <w:t xml:space="preserve">Supplementary Figure </w:t>
      </w:r>
      <w:r w:rsidR="00C23588">
        <w:rPr>
          <w:rFonts w:ascii="Times New Roman" w:hAnsi="Times New Roman" w:cs="Times New Roman"/>
          <w:color w:val="000000" w:themeColor="text1"/>
          <w:sz w:val="22"/>
          <w:szCs w:val="24"/>
        </w:rPr>
        <w:t>4</w:t>
      </w:r>
      <w:r w:rsidRPr="00B84AB2">
        <w:rPr>
          <w:rFonts w:ascii="Times New Roman" w:hAnsi="Times New Roman" w:cs="Times New Roman"/>
          <w:color w:val="000000" w:themeColor="text1"/>
          <w:sz w:val="22"/>
          <w:szCs w:val="24"/>
        </w:rPr>
        <w:t xml:space="preserve">. </w:t>
      </w:r>
      <w:r w:rsidR="00AA7E22" w:rsidRPr="00AA7E22">
        <w:rPr>
          <w:rFonts w:ascii="Times New Roman" w:hAnsi="Times New Roman" w:cs="Times New Roman"/>
          <w:color w:val="000000" w:themeColor="text1"/>
          <w:sz w:val="22"/>
          <w:szCs w:val="24"/>
        </w:rPr>
        <w:t>(A) Cross-cancer tissue microarray (TMA) cohort and data availability by tumor type, including sample counts and median cell counts. (B) Full cross-cancer feature-concordance matrix, showing direction-aligned Spearman correlations between multi-cancer barrier-like score and core features across tumor lineages. (C) Multi-cancer barrier-like score distribution by tumor type. (</w:t>
      </w:r>
      <w:r w:rsidR="00AA7E22">
        <w:rPr>
          <w:rFonts w:ascii="Times New Roman" w:hAnsi="Times New Roman" w:cs="Times New Roman" w:hint="eastAsia"/>
          <w:color w:val="000000" w:themeColor="text1"/>
          <w:sz w:val="22"/>
          <w:szCs w:val="24"/>
        </w:rPr>
        <w:t>D</w:t>
      </w:r>
      <w:r w:rsidR="00AA7E22" w:rsidRPr="00AA7E22">
        <w:rPr>
          <w:rFonts w:ascii="Times New Roman" w:hAnsi="Times New Roman" w:cs="Times New Roman"/>
          <w:color w:val="000000" w:themeColor="text1"/>
          <w:sz w:val="22"/>
          <w:szCs w:val="24"/>
        </w:rPr>
        <w:t>) Low-, intermediate-, and high-barrier-like group composition by tumor type. (E) Cross-cancer TMA analytic-variable availability, summarizing completeness of the features required for cross-cancer barrier-like niche analysis. (F) Sensitivity to excluding low-sample-size tumor types, showing that the median aligned correlation and fraction of positive correlations remain stable after applying minimum sample-size thresholds.</w:t>
      </w:r>
    </w:p>
    <w:p w14:paraId="5988BE0F" w14:textId="77777777" w:rsidR="00AA7E22" w:rsidRDefault="00AA7E22" w:rsidP="00AA7E22">
      <w:pPr>
        <w:widowControl/>
        <w:jc w:val="left"/>
        <w:rPr>
          <w:rFonts w:ascii="Times New Roman" w:hAnsi="Times New Roman" w:cs="Times New Roman"/>
          <w:color w:val="000000" w:themeColor="text1"/>
          <w:sz w:val="28"/>
          <w:szCs w:val="32"/>
        </w:rPr>
      </w:pPr>
    </w:p>
    <w:p w14:paraId="3F0EB37B" w14:textId="1C35591D" w:rsidR="00CD5820" w:rsidRPr="00CD5820" w:rsidRDefault="00B84AB2" w:rsidP="00CD5820">
      <w:pPr>
        <w:snapToGrid w:val="0"/>
        <w:rPr>
          <w:rFonts w:ascii="Times New Roman" w:hAnsi="Times New Roman" w:cs="Times New Roman"/>
          <w:color w:val="000000" w:themeColor="text1"/>
          <w:sz w:val="28"/>
          <w:szCs w:val="32"/>
        </w:rPr>
      </w:pPr>
      <w:r w:rsidRPr="00CD5820">
        <w:rPr>
          <w:rFonts w:ascii="Times New Roman" w:hAnsi="Times New Roman" w:cs="Times New Roman"/>
          <w:b/>
          <w:bCs/>
          <w:color w:val="000000" w:themeColor="text1"/>
          <w:sz w:val="28"/>
          <w:szCs w:val="32"/>
        </w:rPr>
        <w:lastRenderedPageBreak/>
        <w:t xml:space="preserve">Supplementary </w:t>
      </w:r>
      <w:r w:rsidRPr="00CD5820">
        <w:rPr>
          <w:rFonts w:ascii="Times New Roman" w:hAnsi="Times New Roman" w:cs="Times New Roman" w:hint="eastAsia"/>
          <w:b/>
          <w:bCs/>
          <w:color w:val="000000" w:themeColor="text1"/>
          <w:sz w:val="28"/>
          <w:szCs w:val="32"/>
        </w:rPr>
        <w:t>Figure</w:t>
      </w:r>
      <w:r w:rsidRPr="00CD5820">
        <w:rPr>
          <w:rFonts w:ascii="Times New Roman" w:hAnsi="Times New Roman" w:cs="Times New Roman"/>
          <w:b/>
          <w:bCs/>
          <w:color w:val="000000" w:themeColor="text1"/>
          <w:sz w:val="28"/>
          <w:szCs w:val="32"/>
        </w:rPr>
        <w:t xml:space="preserve"> </w:t>
      </w:r>
      <w:r w:rsidRPr="00B84AB2">
        <w:rPr>
          <w:rFonts w:ascii="Times New Roman" w:hAnsi="Times New Roman" w:cs="Times New Roman"/>
          <w:b/>
          <w:bCs/>
          <w:color w:val="000000" w:themeColor="text1"/>
          <w:sz w:val="28"/>
          <w:szCs w:val="32"/>
        </w:rPr>
        <w:t>5:</w:t>
      </w:r>
      <w:r w:rsidR="00CD5820" w:rsidRPr="00B84AB2">
        <w:rPr>
          <w:rFonts w:ascii="Times New Roman" w:hAnsi="Times New Roman" w:cs="Times New Roman"/>
          <w:b/>
          <w:bCs/>
          <w:color w:val="000000" w:themeColor="text1"/>
          <w:sz w:val="28"/>
          <w:szCs w:val="32"/>
        </w:rPr>
        <w:t xml:space="preserve"> External validation sensitivity</w:t>
      </w:r>
    </w:p>
    <w:p w14:paraId="0452942F" w14:textId="264B9539" w:rsidR="00CD5820" w:rsidRPr="00CD5820" w:rsidRDefault="00CD5820" w:rsidP="00CD5820">
      <w:pPr>
        <w:snapToGrid w:val="0"/>
        <w:rPr>
          <w:rFonts w:ascii="Times New Roman" w:hAnsi="Times New Roman" w:cs="Times New Roman"/>
          <w:color w:val="000000" w:themeColor="text1"/>
          <w:sz w:val="28"/>
          <w:szCs w:val="32"/>
        </w:rPr>
      </w:pPr>
      <w:r w:rsidRPr="00CD5820">
        <w:rPr>
          <w:rFonts w:ascii="Times New Roman" w:hAnsi="Times New Roman" w:cs="Times New Roman"/>
          <w:color w:val="000000" w:themeColor="text1"/>
          <w:sz w:val="28"/>
          <w:szCs w:val="32"/>
        </w:rPr>
        <w:t>External validation analyses documented public cohort signature and endpoint availability, signature-definition sensitivity, full public-program associations, exploratory survival endpoint transparency, and spatial ring-parameter sensitivity. These analyses support cross-modal convergence of the image-derived barrier phenotype with public transcriptomic and spatial transcriptomic data.</w:t>
      </w:r>
    </w:p>
    <w:p w14:paraId="2AC0057D" w14:textId="0996062B" w:rsidR="00B84AB2" w:rsidRDefault="00904B8F" w:rsidP="00CD5820">
      <w:pPr>
        <w:snapToGrid w:val="0"/>
        <w:rPr>
          <w:rFonts w:ascii="Times New Roman" w:hAnsi="Times New Roman" w:cs="Times New Roman"/>
          <w:color w:val="000000" w:themeColor="text1"/>
          <w:sz w:val="28"/>
          <w:szCs w:val="32"/>
        </w:rPr>
      </w:pPr>
      <w:r>
        <w:rPr>
          <w:rFonts w:ascii="Times New Roman" w:hAnsi="Times New Roman" w:cs="Times New Roman"/>
          <w:noProof/>
          <w:color w:val="000000" w:themeColor="text1"/>
          <w:sz w:val="28"/>
          <w:szCs w:val="32"/>
        </w:rPr>
        <w:drawing>
          <wp:inline distT="0" distB="0" distL="0" distR="0" wp14:anchorId="5B774802" wp14:editId="6B798985">
            <wp:extent cx="5274310" cy="5168900"/>
            <wp:effectExtent l="0" t="0" r="0" b="0"/>
            <wp:docPr id="187707685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76857" name="图片 1877076857"/>
                    <pic:cNvPicPr/>
                  </pic:nvPicPr>
                  <pic:blipFill rotWithShape="1">
                    <a:blip r:embed="rId11"/>
                    <a:srcRect t="8835" b="23321"/>
                    <a:stretch>
                      <a:fillRect/>
                    </a:stretch>
                  </pic:blipFill>
                  <pic:spPr bwMode="auto">
                    <a:xfrm>
                      <a:off x="0" y="0"/>
                      <a:ext cx="5274310" cy="5168900"/>
                    </a:xfrm>
                    <a:prstGeom prst="rect">
                      <a:avLst/>
                    </a:prstGeom>
                    <a:ln>
                      <a:noFill/>
                    </a:ln>
                    <a:extLst>
                      <a:ext uri="{53640926-AAD7-44D8-BBD7-CCE9431645EC}">
                        <a14:shadowObscured xmlns:a14="http://schemas.microsoft.com/office/drawing/2010/main"/>
                      </a:ext>
                    </a:extLst>
                  </pic:spPr>
                </pic:pic>
              </a:graphicData>
            </a:graphic>
          </wp:inline>
        </w:drawing>
      </w:r>
    </w:p>
    <w:p w14:paraId="763554F8" w14:textId="7E751DFE" w:rsidR="00CD5820" w:rsidRDefault="00B84AB2" w:rsidP="00CD5820">
      <w:pPr>
        <w:snapToGrid w:val="0"/>
        <w:rPr>
          <w:rFonts w:ascii="Times New Roman" w:hAnsi="Times New Roman" w:cs="Times New Roman"/>
          <w:color w:val="000000" w:themeColor="text1"/>
          <w:sz w:val="22"/>
          <w:szCs w:val="24"/>
        </w:rPr>
      </w:pPr>
      <w:r w:rsidRPr="00B84AB2">
        <w:rPr>
          <w:rFonts w:ascii="Times New Roman" w:hAnsi="Times New Roman" w:cs="Times New Roman"/>
          <w:color w:val="000000" w:themeColor="text1"/>
          <w:sz w:val="22"/>
          <w:szCs w:val="24"/>
        </w:rPr>
        <w:t xml:space="preserve">Supplementary Figure </w:t>
      </w:r>
      <w:r w:rsidR="00C23588">
        <w:rPr>
          <w:rFonts w:ascii="Times New Roman" w:hAnsi="Times New Roman" w:cs="Times New Roman"/>
          <w:color w:val="000000" w:themeColor="text1"/>
          <w:sz w:val="22"/>
          <w:szCs w:val="24"/>
        </w:rPr>
        <w:t>5</w:t>
      </w:r>
      <w:r w:rsidRPr="00B84AB2">
        <w:rPr>
          <w:rFonts w:ascii="Times New Roman" w:hAnsi="Times New Roman" w:cs="Times New Roman"/>
          <w:color w:val="000000" w:themeColor="text1"/>
          <w:sz w:val="22"/>
          <w:szCs w:val="24"/>
        </w:rPr>
        <w:t>. External validation sensitivity and spatial robustness analyses.</w:t>
      </w:r>
      <w:r w:rsidRPr="00B84AB2">
        <w:rPr>
          <w:rFonts w:ascii="Times New Roman" w:hAnsi="Times New Roman" w:cs="Times New Roman" w:hint="eastAsia"/>
          <w:color w:val="000000" w:themeColor="text1"/>
          <w:sz w:val="22"/>
          <w:szCs w:val="24"/>
        </w:rPr>
        <w:t xml:space="preserve"> </w:t>
      </w:r>
      <w:r w:rsidRPr="00B84AB2">
        <w:rPr>
          <w:rFonts w:ascii="Times New Roman" w:hAnsi="Times New Roman" w:cs="Times New Roman"/>
          <w:color w:val="000000" w:themeColor="text1"/>
          <w:sz w:val="22"/>
          <w:szCs w:val="24"/>
        </w:rPr>
        <w:t>(A) Public cohort signature and endpoint availability, summarizing sample counts, gene module availability, MSI/MMR status, and survival endpoint availability. (B) Signature-definition sensitivity analysis, comparing alternative module-based definitions with the final transcriptomic barrier signature. (C) Full public-program association heatmap showing Spearman correlations between the barrier signature and biological programs across public cohorts. (D) Exploratory survival endpoint forest plot, showing hazard ratios for the transcriptomic barrier signature across available public survival endpoints. (E) Spatial ring-parameter sensitivity analysis, showing the relative T-cell decline from barrier-high cores under alternative outer-ring definitions.</w:t>
      </w:r>
    </w:p>
    <w:p w14:paraId="4B9A542F" w14:textId="7A9C72E0" w:rsidR="00C23588" w:rsidRDefault="00C23588" w:rsidP="00CD5820">
      <w:pPr>
        <w:snapToGrid w:val="0"/>
        <w:rPr>
          <w:rFonts w:ascii="Times New Roman" w:hAnsi="Times New Roman" w:cs="Times New Roman"/>
          <w:color w:val="000000" w:themeColor="text1"/>
          <w:sz w:val="22"/>
          <w:szCs w:val="24"/>
        </w:rPr>
      </w:pPr>
    </w:p>
    <w:p w14:paraId="5EEFF97A" w14:textId="3742B222" w:rsidR="00C23588" w:rsidRDefault="00C23588" w:rsidP="00CD5820">
      <w:pPr>
        <w:snapToGrid w:val="0"/>
        <w:rPr>
          <w:rFonts w:ascii="Times New Roman" w:hAnsi="Times New Roman" w:cs="Times New Roman"/>
          <w:color w:val="000000" w:themeColor="text1"/>
          <w:sz w:val="22"/>
          <w:szCs w:val="24"/>
        </w:rPr>
      </w:pPr>
    </w:p>
    <w:p w14:paraId="14B8A303" w14:textId="7C9C095B" w:rsidR="003F17FF" w:rsidRDefault="003F17FF">
      <w:pPr>
        <w:widowControl/>
        <w:jc w:val="left"/>
        <w:rPr>
          <w:rFonts w:ascii="Times New Roman" w:hAnsi="Times New Roman" w:cs="Times New Roman"/>
          <w:color w:val="000000" w:themeColor="text1"/>
          <w:sz w:val="22"/>
          <w:szCs w:val="24"/>
        </w:rPr>
      </w:pPr>
      <w:r>
        <w:rPr>
          <w:rFonts w:ascii="Times New Roman" w:hAnsi="Times New Roman" w:cs="Times New Roman"/>
          <w:color w:val="000000" w:themeColor="text1"/>
          <w:sz w:val="22"/>
          <w:szCs w:val="24"/>
        </w:rPr>
        <w:br w:type="page"/>
      </w:r>
    </w:p>
    <w:p w14:paraId="443F9BE0" w14:textId="7797BB0D" w:rsidR="003F17FF" w:rsidRDefault="003F17FF" w:rsidP="003F17FF">
      <w:pPr>
        <w:snapToGrid w:val="0"/>
        <w:rPr>
          <w:rFonts w:ascii="Times New Roman" w:hAnsi="Times New Roman" w:cs="Times New Roman"/>
          <w:b/>
          <w:bCs/>
          <w:color w:val="000000" w:themeColor="text1"/>
          <w:sz w:val="28"/>
          <w:szCs w:val="32"/>
        </w:rPr>
      </w:pPr>
      <w:r>
        <w:rPr>
          <w:rFonts w:ascii="Times New Roman" w:hAnsi="Times New Roman" w:cs="Times New Roman"/>
          <w:b/>
          <w:bCs/>
          <w:color w:val="000000" w:themeColor="text1"/>
          <w:sz w:val="28"/>
          <w:szCs w:val="32"/>
        </w:rPr>
        <w:lastRenderedPageBreak/>
        <w:t xml:space="preserve">Supplementary Table </w:t>
      </w:r>
      <w:r>
        <w:rPr>
          <w:rFonts w:ascii="Times New Roman" w:hAnsi="Times New Roman" w:cs="Times New Roman" w:hint="eastAsia"/>
          <w:b/>
          <w:bCs/>
          <w:color w:val="000000" w:themeColor="text1"/>
          <w:sz w:val="28"/>
          <w:szCs w:val="32"/>
        </w:rPr>
        <w:t>1</w:t>
      </w:r>
    </w:p>
    <w:p w14:paraId="574BB857" w14:textId="77777777" w:rsidR="003F17FF" w:rsidRDefault="003F17FF" w:rsidP="003F17FF">
      <w:pPr>
        <w:snapToGrid w:val="0"/>
        <w:rPr>
          <w:rFonts w:ascii="Times New Roman" w:hAnsi="Times New Roman" w:cs="Times New Roman"/>
          <w:color w:val="000000" w:themeColor="text1"/>
          <w:sz w:val="28"/>
          <w:szCs w:val="32"/>
        </w:rPr>
      </w:pPr>
    </w:p>
    <w:p w14:paraId="0EEBC4E4" w14:textId="77777777" w:rsidR="003F17FF" w:rsidRDefault="003F17FF" w:rsidP="003F17FF">
      <w:pPr>
        <w:snapToGrid w:val="0"/>
        <w:rPr>
          <w:rFonts w:ascii="Times New Roman" w:hAnsi="Times New Roman" w:cs="Times New Roman"/>
          <w:color w:val="000000" w:themeColor="text1"/>
          <w:sz w:val="28"/>
          <w:szCs w:val="32"/>
        </w:rPr>
      </w:pPr>
      <w:r>
        <w:rPr>
          <w:rFonts w:ascii="Times New Roman" w:hAnsi="Times New Roman" w:cs="Times New Roman"/>
          <w:color w:val="000000" w:themeColor="text1"/>
          <w:sz w:val="28"/>
          <w:szCs w:val="32"/>
        </w:rPr>
        <w:t>List of the used antibodies, antigen retrieval (AR), dilutions, and Opal dyes for multiplex fluorescence immunohistochemistry</w:t>
      </w:r>
    </w:p>
    <w:p w14:paraId="05ED05CB" w14:textId="77777777" w:rsidR="003F17FF" w:rsidRDefault="003F17FF" w:rsidP="003F17FF">
      <w:pPr>
        <w:snapToGrid w:val="0"/>
        <w:rPr>
          <w:rFonts w:ascii="Times New Roman" w:hAnsi="Times New Roman" w:cs="Times New Roman"/>
          <w:color w:val="000000" w:themeColor="text1"/>
          <w:sz w:val="28"/>
          <w:szCs w:val="32"/>
        </w:rPr>
      </w:pPr>
    </w:p>
    <w:p w14:paraId="7104019A" w14:textId="77777777" w:rsidR="003F17FF" w:rsidRDefault="003F17FF" w:rsidP="003F17FF">
      <w:pPr>
        <w:snapToGrid w:val="0"/>
        <w:rPr>
          <w:rFonts w:ascii="Times New Roman" w:hAnsi="Times New Roman" w:cs="Times New Roman"/>
          <w:color w:val="000000" w:themeColor="text1"/>
          <w:sz w:val="28"/>
          <w:szCs w:val="32"/>
        </w:rPr>
      </w:pPr>
      <w:r>
        <w:rPr>
          <w:rFonts w:ascii="Times New Roman" w:hAnsi="Times New Roman" w:cs="Times New Roman"/>
          <w:color w:val="000000" w:themeColor="text1"/>
          <w:sz w:val="28"/>
          <w:szCs w:val="32"/>
        </w:rPr>
        <w:t xml:space="preserve">(1) Panel 1—lymphoid/immune markers: FOXP3, CD20, Ki67, CD3, CD8. </w:t>
      </w:r>
    </w:p>
    <w:tbl>
      <w:tblPr>
        <w:tblW w:w="8370" w:type="dxa"/>
        <w:tblInd w:w="-30" w:type="dxa"/>
        <w:tblLayout w:type="fixed"/>
        <w:tblLook w:val="04A0" w:firstRow="1" w:lastRow="0" w:firstColumn="1" w:lastColumn="0" w:noHBand="0" w:noVBand="1"/>
      </w:tblPr>
      <w:tblGrid>
        <w:gridCol w:w="1268"/>
        <w:gridCol w:w="1234"/>
        <w:gridCol w:w="3707"/>
        <w:gridCol w:w="927"/>
        <w:gridCol w:w="1234"/>
      </w:tblGrid>
      <w:tr w:rsidR="003F17FF" w14:paraId="2CCEF1A6" w14:textId="77777777" w:rsidTr="003F17FF">
        <w:trPr>
          <w:trHeight w:val="599"/>
        </w:trPr>
        <w:tc>
          <w:tcPr>
            <w:tcW w:w="1268" w:type="dxa"/>
            <w:tcBorders>
              <w:top w:val="single" w:sz="4" w:space="0" w:color="auto"/>
              <w:left w:val="nil"/>
              <w:bottom w:val="single" w:sz="4" w:space="0" w:color="auto"/>
              <w:right w:val="nil"/>
            </w:tcBorders>
            <w:vAlign w:val="center"/>
            <w:hideMark/>
          </w:tcPr>
          <w:p w14:paraId="41BE6E60"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Opal dye</w:t>
            </w:r>
          </w:p>
        </w:tc>
        <w:tc>
          <w:tcPr>
            <w:tcW w:w="1235" w:type="dxa"/>
            <w:tcBorders>
              <w:top w:val="single" w:sz="4" w:space="0" w:color="auto"/>
              <w:left w:val="nil"/>
              <w:bottom w:val="single" w:sz="4" w:space="0" w:color="auto"/>
              <w:right w:val="nil"/>
            </w:tcBorders>
            <w:vAlign w:val="center"/>
            <w:hideMark/>
          </w:tcPr>
          <w:p w14:paraId="419D3543"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Antibody target</w:t>
            </w:r>
          </w:p>
        </w:tc>
        <w:tc>
          <w:tcPr>
            <w:tcW w:w="3709" w:type="dxa"/>
            <w:tcBorders>
              <w:top w:val="single" w:sz="4" w:space="0" w:color="auto"/>
              <w:left w:val="nil"/>
              <w:bottom w:val="single" w:sz="4" w:space="0" w:color="auto"/>
              <w:right w:val="nil"/>
            </w:tcBorders>
            <w:vAlign w:val="center"/>
            <w:hideMark/>
          </w:tcPr>
          <w:p w14:paraId="471123C1"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Identifier</w:t>
            </w:r>
          </w:p>
        </w:tc>
        <w:tc>
          <w:tcPr>
            <w:tcW w:w="927" w:type="dxa"/>
            <w:tcBorders>
              <w:top w:val="single" w:sz="4" w:space="0" w:color="auto"/>
              <w:left w:val="nil"/>
              <w:bottom w:val="single" w:sz="4" w:space="0" w:color="auto"/>
              <w:right w:val="nil"/>
            </w:tcBorders>
            <w:vAlign w:val="center"/>
            <w:hideMark/>
          </w:tcPr>
          <w:p w14:paraId="779589D6"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AR</w:t>
            </w:r>
          </w:p>
        </w:tc>
        <w:tc>
          <w:tcPr>
            <w:tcW w:w="1235" w:type="dxa"/>
            <w:tcBorders>
              <w:top w:val="single" w:sz="4" w:space="0" w:color="auto"/>
              <w:left w:val="nil"/>
              <w:bottom w:val="single" w:sz="4" w:space="0" w:color="auto"/>
              <w:right w:val="nil"/>
            </w:tcBorders>
            <w:vAlign w:val="center"/>
            <w:hideMark/>
          </w:tcPr>
          <w:p w14:paraId="3ED5D812"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Dilution</w:t>
            </w:r>
          </w:p>
        </w:tc>
      </w:tr>
      <w:tr w:rsidR="003F17FF" w14:paraId="1FBA9F1B" w14:textId="77777777" w:rsidTr="003F17FF">
        <w:trPr>
          <w:trHeight w:val="174"/>
        </w:trPr>
        <w:tc>
          <w:tcPr>
            <w:tcW w:w="1268" w:type="dxa"/>
            <w:tcBorders>
              <w:top w:val="single" w:sz="4" w:space="0" w:color="auto"/>
              <w:left w:val="nil"/>
              <w:bottom w:val="nil"/>
              <w:right w:val="nil"/>
            </w:tcBorders>
            <w:hideMark/>
          </w:tcPr>
          <w:p w14:paraId="1A192F3F"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480</w:t>
            </w:r>
          </w:p>
        </w:tc>
        <w:tc>
          <w:tcPr>
            <w:tcW w:w="1235" w:type="dxa"/>
            <w:tcBorders>
              <w:top w:val="single" w:sz="4" w:space="0" w:color="auto"/>
              <w:left w:val="nil"/>
              <w:bottom w:val="nil"/>
              <w:right w:val="nil"/>
            </w:tcBorders>
            <w:hideMark/>
          </w:tcPr>
          <w:p w14:paraId="5336315E"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CD20</w:t>
            </w:r>
          </w:p>
        </w:tc>
        <w:tc>
          <w:tcPr>
            <w:tcW w:w="3709" w:type="dxa"/>
            <w:tcBorders>
              <w:top w:val="single" w:sz="4" w:space="0" w:color="auto"/>
              <w:left w:val="nil"/>
              <w:bottom w:val="nil"/>
              <w:right w:val="nil"/>
            </w:tcBorders>
            <w:hideMark/>
          </w:tcPr>
          <w:p w14:paraId="6110C6CD" w14:textId="77777777" w:rsidR="003F17FF" w:rsidRDefault="003F17FF">
            <w:pPr>
              <w:autoSpaceDE w:val="0"/>
              <w:autoSpaceDN w:val="0"/>
              <w:adjustRightInd w:val="0"/>
              <w:snapToGrid w:val="0"/>
              <w:jc w:val="left"/>
              <w:rPr>
                <w:rFonts w:ascii="Times New Roman" w:hAnsi="Times New Roman" w:cs="Times New Roman"/>
                <w:color w:val="000000" w:themeColor="text1"/>
                <w:sz w:val="24"/>
                <w:szCs w:val="28"/>
              </w:rPr>
            </w:pPr>
            <w:proofErr w:type="spellStart"/>
            <w:r>
              <w:rPr>
                <w:rFonts w:ascii="Times New Roman" w:hAnsi="Times New Roman" w:cs="Times New Roman"/>
                <w:color w:val="000000" w:themeColor="text1"/>
                <w:sz w:val="24"/>
                <w:szCs w:val="28"/>
              </w:rPr>
              <w:t>Proteintech</w:t>
            </w:r>
            <w:proofErr w:type="spellEnd"/>
            <w:r>
              <w:rPr>
                <w:rFonts w:ascii="Times New Roman" w:hAnsi="Times New Roman" w:cs="Times New Roman"/>
                <w:color w:val="000000" w:themeColor="text1"/>
                <w:sz w:val="24"/>
                <w:szCs w:val="28"/>
              </w:rPr>
              <w:t>, Cat#: 60271-1-Ig</w:t>
            </w:r>
          </w:p>
        </w:tc>
        <w:tc>
          <w:tcPr>
            <w:tcW w:w="927" w:type="dxa"/>
            <w:tcBorders>
              <w:top w:val="single" w:sz="4" w:space="0" w:color="auto"/>
              <w:left w:val="nil"/>
              <w:bottom w:val="nil"/>
              <w:right w:val="nil"/>
            </w:tcBorders>
            <w:hideMark/>
          </w:tcPr>
          <w:p w14:paraId="5BA796A4"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AR9</w:t>
            </w:r>
          </w:p>
        </w:tc>
        <w:tc>
          <w:tcPr>
            <w:tcW w:w="1235" w:type="dxa"/>
            <w:tcBorders>
              <w:top w:val="single" w:sz="4" w:space="0" w:color="auto"/>
              <w:left w:val="nil"/>
              <w:bottom w:val="nil"/>
              <w:right w:val="nil"/>
            </w:tcBorders>
            <w:hideMark/>
          </w:tcPr>
          <w:p w14:paraId="474AE832"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1:1000</w:t>
            </w:r>
          </w:p>
        </w:tc>
      </w:tr>
      <w:tr w:rsidR="003F17FF" w14:paraId="0E99767E" w14:textId="77777777" w:rsidTr="003F17FF">
        <w:trPr>
          <w:trHeight w:val="174"/>
        </w:trPr>
        <w:tc>
          <w:tcPr>
            <w:tcW w:w="1268" w:type="dxa"/>
            <w:hideMark/>
          </w:tcPr>
          <w:p w14:paraId="55769996"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520</w:t>
            </w:r>
          </w:p>
        </w:tc>
        <w:tc>
          <w:tcPr>
            <w:tcW w:w="1235" w:type="dxa"/>
            <w:hideMark/>
          </w:tcPr>
          <w:p w14:paraId="41EEF3F9"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CD8</w:t>
            </w:r>
          </w:p>
        </w:tc>
        <w:tc>
          <w:tcPr>
            <w:tcW w:w="3709" w:type="dxa"/>
            <w:hideMark/>
          </w:tcPr>
          <w:p w14:paraId="07126131" w14:textId="77777777" w:rsidR="003F17FF" w:rsidRDefault="003F17FF">
            <w:pPr>
              <w:autoSpaceDE w:val="0"/>
              <w:autoSpaceDN w:val="0"/>
              <w:adjustRightInd w:val="0"/>
              <w:snapToGrid w:val="0"/>
              <w:jc w:val="left"/>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Cell Signaling, Cat#: CST#70306</w:t>
            </w:r>
          </w:p>
        </w:tc>
        <w:tc>
          <w:tcPr>
            <w:tcW w:w="927" w:type="dxa"/>
            <w:hideMark/>
          </w:tcPr>
          <w:p w14:paraId="67273E16"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AR9</w:t>
            </w:r>
          </w:p>
        </w:tc>
        <w:tc>
          <w:tcPr>
            <w:tcW w:w="1235" w:type="dxa"/>
            <w:hideMark/>
          </w:tcPr>
          <w:p w14:paraId="6785AF0D" w14:textId="77777777" w:rsidR="003F17FF" w:rsidRDefault="003F17FF">
            <w:pPr>
              <w:autoSpaceDE w:val="0"/>
              <w:autoSpaceDN w:val="0"/>
              <w:adjustRightInd w:val="0"/>
              <w:snapToGrid w:val="0"/>
              <w:ind w:firstLineChars="100" w:firstLine="24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1:200</w:t>
            </w:r>
          </w:p>
        </w:tc>
      </w:tr>
      <w:tr w:rsidR="003F17FF" w14:paraId="3B100C93" w14:textId="77777777" w:rsidTr="003F17FF">
        <w:trPr>
          <w:trHeight w:val="174"/>
        </w:trPr>
        <w:tc>
          <w:tcPr>
            <w:tcW w:w="1268" w:type="dxa"/>
            <w:hideMark/>
          </w:tcPr>
          <w:p w14:paraId="30638169"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620</w:t>
            </w:r>
          </w:p>
        </w:tc>
        <w:tc>
          <w:tcPr>
            <w:tcW w:w="1235" w:type="dxa"/>
            <w:hideMark/>
          </w:tcPr>
          <w:p w14:paraId="7468777A"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Ki-67</w:t>
            </w:r>
          </w:p>
        </w:tc>
        <w:tc>
          <w:tcPr>
            <w:tcW w:w="3709" w:type="dxa"/>
            <w:hideMark/>
          </w:tcPr>
          <w:p w14:paraId="66BC7775" w14:textId="77777777" w:rsidR="003F17FF" w:rsidRDefault="003F17FF">
            <w:pPr>
              <w:autoSpaceDE w:val="0"/>
              <w:autoSpaceDN w:val="0"/>
              <w:adjustRightInd w:val="0"/>
              <w:snapToGrid w:val="0"/>
              <w:jc w:val="left"/>
              <w:rPr>
                <w:rFonts w:ascii="Times New Roman" w:hAnsi="Times New Roman" w:cs="Times New Roman"/>
                <w:color w:val="000000" w:themeColor="text1"/>
                <w:sz w:val="24"/>
                <w:szCs w:val="28"/>
              </w:rPr>
            </w:pPr>
            <w:proofErr w:type="spellStart"/>
            <w:r>
              <w:rPr>
                <w:rFonts w:ascii="Times New Roman" w:hAnsi="Times New Roman" w:cs="Times New Roman"/>
                <w:color w:val="000000" w:themeColor="text1"/>
                <w:sz w:val="24"/>
                <w:szCs w:val="28"/>
              </w:rPr>
              <w:t>Proteintech</w:t>
            </w:r>
            <w:proofErr w:type="spellEnd"/>
            <w:r>
              <w:rPr>
                <w:rFonts w:ascii="Times New Roman" w:hAnsi="Times New Roman" w:cs="Times New Roman"/>
                <w:color w:val="000000" w:themeColor="text1"/>
                <w:sz w:val="24"/>
                <w:szCs w:val="28"/>
              </w:rPr>
              <w:t>, Cat#: 27309-1-AP</w:t>
            </w:r>
          </w:p>
        </w:tc>
        <w:tc>
          <w:tcPr>
            <w:tcW w:w="927" w:type="dxa"/>
            <w:hideMark/>
          </w:tcPr>
          <w:p w14:paraId="673FB22C"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AR9</w:t>
            </w:r>
          </w:p>
        </w:tc>
        <w:tc>
          <w:tcPr>
            <w:tcW w:w="1235" w:type="dxa"/>
            <w:hideMark/>
          </w:tcPr>
          <w:p w14:paraId="11A326B1"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1:3000</w:t>
            </w:r>
          </w:p>
        </w:tc>
      </w:tr>
      <w:tr w:rsidR="003F17FF" w14:paraId="5D94D4D7" w14:textId="77777777" w:rsidTr="003F17FF">
        <w:trPr>
          <w:trHeight w:val="174"/>
        </w:trPr>
        <w:tc>
          <w:tcPr>
            <w:tcW w:w="1268" w:type="dxa"/>
            <w:hideMark/>
          </w:tcPr>
          <w:p w14:paraId="71BF26AF"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690</w:t>
            </w:r>
          </w:p>
        </w:tc>
        <w:tc>
          <w:tcPr>
            <w:tcW w:w="1235" w:type="dxa"/>
            <w:hideMark/>
          </w:tcPr>
          <w:p w14:paraId="4D3C0C1F"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FOXP3</w:t>
            </w:r>
          </w:p>
        </w:tc>
        <w:tc>
          <w:tcPr>
            <w:tcW w:w="3709" w:type="dxa"/>
            <w:hideMark/>
          </w:tcPr>
          <w:p w14:paraId="13A9E78B" w14:textId="77777777" w:rsidR="003F17FF" w:rsidRDefault="003F17FF">
            <w:pPr>
              <w:autoSpaceDE w:val="0"/>
              <w:autoSpaceDN w:val="0"/>
              <w:adjustRightInd w:val="0"/>
              <w:snapToGrid w:val="0"/>
              <w:jc w:val="left"/>
              <w:rPr>
                <w:rFonts w:ascii="Times New Roman" w:hAnsi="Times New Roman" w:cs="Times New Roman"/>
                <w:color w:val="000000" w:themeColor="text1"/>
                <w:sz w:val="24"/>
                <w:szCs w:val="28"/>
              </w:rPr>
            </w:pPr>
            <w:proofErr w:type="spellStart"/>
            <w:r>
              <w:rPr>
                <w:rFonts w:ascii="Times New Roman" w:hAnsi="Times New Roman" w:cs="Times New Roman"/>
                <w:color w:val="000000" w:themeColor="text1"/>
                <w:sz w:val="24"/>
                <w:szCs w:val="28"/>
              </w:rPr>
              <w:t>Proteintech</w:t>
            </w:r>
            <w:proofErr w:type="spellEnd"/>
            <w:r>
              <w:rPr>
                <w:rFonts w:ascii="Times New Roman" w:hAnsi="Times New Roman" w:cs="Times New Roman"/>
                <w:color w:val="000000" w:themeColor="text1"/>
                <w:sz w:val="24"/>
                <w:szCs w:val="28"/>
              </w:rPr>
              <w:t>, Cat#: 22228-1-AP</w:t>
            </w:r>
          </w:p>
        </w:tc>
        <w:tc>
          <w:tcPr>
            <w:tcW w:w="927" w:type="dxa"/>
            <w:hideMark/>
          </w:tcPr>
          <w:p w14:paraId="782470A5"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AR9</w:t>
            </w:r>
          </w:p>
        </w:tc>
        <w:tc>
          <w:tcPr>
            <w:tcW w:w="1235" w:type="dxa"/>
            <w:hideMark/>
          </w:tcPr>
          <w:p w14:paraId="29027024"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1:1000</w:t>
            </w:r>
          </w:p>
        </w:tc>
      </w:tr>
      <w:tr w:rsidR="003F17FF" w14:paraId="6561F750" w14:textId="77777777" w:rsidTr="003F17FF">
        <w:trPr>
          <w:trHeight w:val="174"/>
        </w:trPr>
        <w:tc>
          <w:tcPr>
            <w:tcW w:w="1268" w:type="dxa"/>
            <w:tcBorders>
              <w:top w:val="nil"/>
              <w:left w:val="nil"/>
              <w:bottom w:val="single" w:sz="4" w:space="0" w:color="auto"/>
              <w:right w:val="nil"/>
            </w:tcBorders>
            <w:hideMark/>
          </w:tcPr>
          <w:p w14:paraId="31B62C0D"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780</w:t>
            </w:r>
          </w:p>
        </w:tc>
        <w:tc>
          <w:tcPr>
            <w:tcW w:w="1235" w:type="dxa"/>
            <w:tcBorders>
              <w:top w:val="nil"/>
              <w:left w:val="nil"/>
              <w:bottom w:val="single" w:sz="4" w:space="0" w:color="auto"/>
              <w:right w:val="nil"/>
            </w:tcBorders>
            <w:hideMark/>
          </w:tcPr>
          <w:p w14:paraId="34C4B070"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CD3</w:t>
            </w:r>
          </w:p>
        </w:tc>
        <w:tc>
          <w:tcPr>
            <w:tcW w:w="3709" w:type="dxa"/>
            <w:tcBorders>
              <w:top w:val="nil"/>
              <w:left w:val="nil"/>
              <w:bottom w:val="single" w:sz="4" w:space="0" w:color="auto"/>
              <w:right w:val="nil"/>
            </w:tcBorders>
            <w:hideMark/>
          </w:tcPr>
          <w:p w14:paraId="78B177A0" w14:textId="77777777" w:rsidR="003F17FF" w:rsidRDefault="003F17FF">
            <w:pPr>
              <w:autoSpaceDE w:val="0"/>
              <w:autoSpaceDN w:val="0"/>
              <w:adjustRightInd w:val="0"/>
              <w:snapToGrid w:val="0"/>
              <w:jc w:val="left"/>
              <w:rPr>
                <w:rFonts w:ascii="Times New Roman" w:hAnsi="Times New Roman" w:cs="Times New Roman"/>
                <w:color w:val="000000" w:themeColor="text1"/>
                <w:sz w:val="24"/>
                <w:szCs w:val="28"/>
              </w:rPr>
            </w:pPr>
            <w:proofErr w:type="spellStart"/>
            <w:r>
              <w:rPr>
                <w:rFonts w:ascii="Times New Roman" w:hAnsi="Times New Roman" w:cs="Times New Roman"/>
                <w:color w:val="000000" w:themeColor="text1"/>
                <w:sz w:val="24"/>
                <w:szCs w:val="28"/>
              </w:rPr>
              <w:t>Proteintech</w:t>
            </w:r>
            <w:proofErr w:type="spellEnd"/>
            <w:r>
              <w:rPr>
                <w:rFonts w:ascii="Times New Roman" w:hAnsi="Times New Roman" w:cs="Times New Roman"/>
                <w:color w:val="000000" w:themeColor="text1"/>
                <w:sz w:val="24"/>
                <w:szCs w:val="28"/>
              </w:rPr>
              <w:t>, Cat#: 17617-1-AP</w:t>
            </w:r>
          </w:p>
        </w:tc>
        <w:tc>
          <w:tcPr>
            <w:tcW w:w="927" w:type="dxa"/>
            <w:tcBorders>
              <w:top w:val="nil"/>
              <w:left w:val="nil"/>
              <w:bottom w:val="single" w:sz="4" w:space="0" w:color="auto"/>
              <w:right w:val="nil"/>
            </w:tcBorders>
            <w:hideMark/>
          </w:tcPr>
          <w:p w14:paraId="4B472524"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AR9</w:t>
            </w:r>
          </w:p>
        </w:tc>
        <w:tc>
          <w:tcPr>
            <w:tcW w:w="1235" w:type="dxa"/>
            <w:tcBorders>
              <w:top w:val="nil"/>
              <w:left w:val="nil"/>
              <w:bottom w:val="single" w:sz="4" w:space="0" w:color="auto"/>
              <w:right w:val="nil"/>
            </w:tcBorders>
            <w:hideMark/>
          </w:tcPr>
          <w:p w14:paraId="0368C533"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1:3000</w:t>
            </w:r>
          </w:p>
        </w:tc>
      </w:tr>
    </w:tbl>
    <w:p w14:paraId="7A59A455" w14:textId="77777777" w:rsidR="003F17FF" w:rsidRDefault="003F17FF" w:rsidP="003F17FF">
      <w:pPr>
        <w:snapToGrid w:val="0"/>
        <w:rPr>
          <w:rFonts w:ascii="Times New Roman" w:hAnsi="Times New Roman" w:cs="Times New Roman"/>
          <w:color w:val="000000" w:themeColor="text1"/>
          <w:sz w:val="28"/>
          <w:szCs w:val="32"/>
        </w:rPr>
      </w:pPr>
    </w:p>
    <w:p w14:paraId="5C023CC6" w14:textId="77777777" w:rsidR="003F17FF" w:rsidRDefault="003F17FF" w:rsidP="003F17FF">
      <w:pPr>
        <w:snapToGrid w:val="0"/>
        <w:rPr>
          <w:rFonts w:ascii="Times New Roman" w:hAnsi="Times New Roman" w:cs="Times New Roman"/>
          <w:color w:val="000000" w:themeColor="text1"/>
          <w:sz w:val="28"/>
          <w:szCs w:val="32"/>
        </w:rPr>
      </w:pPr>
      <w:r>
        <w:rPr>
          <w:rFonts w:ascii="Times New Roman" w:hAnsi="Times New Roman" w:cs="Times New Roman"/>
          <w:color w:val="000000" w:themeColor="text1"/>
          <w:sz w:val="28"/>
          <w:szCs w:val="32"/>
        </w:rPr>
        <w:t>(2) Panel 2—suppressive immune markers: CD8, PD-1, PD-L1, CD163, CD68.</w:t>
      </w:r>
    </w:p>
    <w:tbl>
      <w:tblPr>
        <w:tblW w:w="8370" w:type="dxa"/>
        <w:tblInd w:w="-30" w:type="dxa"/>
        <w:tblLayout w:type="fixed"/>
        <w:tblLook w:val="04A0" w:firstRow="1" w:lastRow="0" w:firstColumn="1" w:lastColumn="0" w:noHBand="0" w:noVBand="1"/>
      </w:tblPr>
      <w:tblGrid>
        <w:gridCol w:w="1268"/>
        <w:gridCol w:w="1234"/>
        <w:gridCol w:w="3707"/>
        <w:gridCol w:w="927"/>
        <w:gridCol w:w="1234"/>
      </w:tblGrid>
      <w:tr w:rsidR="003F17FF" w14:paraId="09260355" w14:textId="77777777" w:rsidTr="003F17FF">
        <w:trPr>
          <w:trHeight w:val="599"/>
        </w:trPr>
        <w:tc>
          <w:tcPr>
            <w:tcW w:w="1268" w:type="dxa"/>
            <w:tcBorders>
              <w:top w:val="single" w:sz="4" w:space="0" w:color="auto"/>
              <w:left w:val="nil"/>
              <w:bottom w:val="single" w:sz="4" w:space="0" w:color="auto"/>
              <w:right w:val="nil"/>
            </w:tcBorders>
            <w:vAlign w:val="center"/>
            <w:hideMark/>
          </w:tcPr>
          <w:p w14:paraId="5CE26759"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Opal dye</w:t>
            </w:r>
          </w:p>
        </w:tc>
        <w:tc>
          <w:tcPr>
            <w:tcW w:w="1235" w:type="dxa"/>
            <w:tcBorders>
              <w:top w:val="single" w:sz="4" w:space="0" w:color="auto"/>
              <w:left w:val="nil"/>
              <w:bottom w:val="single" w:sz="4" w:space="0" w:color="auto"/>
              <w:right w:val="nil"/>
            </w:tcBorders>
            <w:vAlign w:val="center"/>
            <w:hideMark/>
          </w:tcPr>
          <w:p w14:paraId="74A39EFD"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Antibody target</w:t>
            </w:r>
          </w:p>
        </w:tc>
        <w:tc>
          <w:tcPr>
            <w:tcW w:w="3709" w:type="dxa"/>
            <w:tcBorders>
              <w:top w:val="single" w:sz="4" w:space="0" w:color="auto"/>
              <w:left w:val="nil"/>
              <w:bottom w:val="single" w:sz="4" w:space="0" w:color="auto"/>
              <w:right w:val="nil"/>
            </w:tcBorders>
            <w:vAlign w:val="center"/>
            <w:hideMark/>
          </w:tcPr>
          <w:p w14:paraId="44175210"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Identifier</w:t>
            </w:r>
          </w:p>
        </w:tc>
        <w:tc>
          <w:tcPr>
            <w:tcW w:w="927" w:type="dxa"/>
            <w:tcBorders>
              <w:top w:val="single" w:sz="4" w:space="0" w:color="auto"/>
              <w:left w:val="nil"/>
              <w:bottom w:val="single" w:sz="4" w:space="0" w:color="auto"/>
              <w:right w:val="nil"/>
            </w:tcBorders>
            <w:vAlign w:val="center"/>
            <w:hideMark/>
          </w:tcPr>
          <w:p w14:paraId="4DB3F6EB"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AR</w:t>
            </w:r>
          </w:p>
        </w:tc>
        <w:tc>
          <w:tcPr>
            <w:tcW w:w="1235" w:type="dxa"/>
            <w:tcBorders>
              <w:top w:val="single" w:sz="4" w:space="0" w:color="auto"/>
              <w:left w:val="nil"/>
              <w:bottom w:val="single" w:sz="4" w:space="0" w:color="auto"/>
              <w:right w:val="nil"/>
            </w:tcBorders>
            <w:vAlign w:val="center"/>
            <w:hideMark/>
          </w:tcPr>
          <w:p w14:paraId="0C147DAD"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Dilution</w:t>
            </w:r>
          </w:p>
        </w:tc>
      </w:tr>
      <w:tr w:rsidR="003F17FF" w14:paraId="7DC054FE" w14:textId="77777777" w:rsidTr="003F17FF">
        <w:trPr>
          <w:trHeight w:val="174"/>
        </w:trPr>
        <w:tc>
          <w:tcPr>
            <w:tcW w:w="1268" w:type="dxa"/>
            <w:hideMark/>
          </w:tcPr>
          <w:p w14:paraId="125A912C"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520</w:t>
            </w:r>
          </w:p>
        </w:tc>
        <w:tc>
          <w:tcPr>
            <w:tcW w:w="1235" w:type="dxa"/>
            <w:hideMark/>
          </w:tcPr>
          <w:p w14:paraId="37800ECA"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CD68</w:t>
            </w:r>
          </w:p>
        </w:tc>
        <w:tc>
          <w:tcPr>
            <w:tcW w:w="3709" w:type="dxa"/>
            <w:hideMark/>
          </w:tcPr>
          <w:p w14:paraId="46C43200" w14:textId="77777777" w:rsidR="003F17FF" w:rsidRDefault="003F17FF">
            <w:pPr>
              <w:autoSpaceDE w:val="0"/>
              <w:autoSpaceDN w:val="0"/>
              <w:adjustRightInd w:val="0"/>
              <w:snapToGrid w:val="0"/>
              <w:jc w:val="left"/>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Cell Signaling, Cat#: CST#76437</w:t>
            </w:r>
          </w:p>
        </w:tc>
        <w:tc>
          <w:tcPr>
            <w:tcW w:w="927" w:type="dxa"/>
            <w:hideMark/>
          </w:tcPr>
          <w:p w14:paraId="6FBF02F0"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AR6</w:t>
            </w:r>
          </w:p>
        </w:tc>
        <w:tc>
          <w:tcPr>
            <w:tcW w:w="1235" w:type="dxa"/>
            <w:hideMark/>
          </w:tcPr>
          <w:p w14:paraId="0DE0A255" w14:textId="77777777" w:rsidR="003F17FF" w:rsidRDefault="003F17FF">
            <w:pPr>
              <w:autoSpaceDE w:val="0"/>
              <w:autoSpaceDN w:val="0"/>
              <w:adjustRightInd w:val="0"/>
              <w:snapToGrid w:val="0"/>
              <w:ind w:firstLineChars="100" w:firstLine="24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1:400</w:t>
            </w:r>
          </w:p>
        </w:tc>
      </w:tr>
      <w:tr w:rsidR="003F17FF" w14:paraId="1ACDD111" w14:textId="77777777" w:rsidTr="003F17FF">
        <w:trPr>
          <w:trHeight w:val="174"/>
        </w:trPr>
        <w:tc>
          <w:tcPr>
            <w:tcW w:w="1268" w:type="dxa"/>
            <w:hideMark/>
          </w:tcPr>
          <w:p w14:paraId="5689845D"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570</w:t>
            </w:r>
          </w:p>
        </w:tc>
        <w:tc>
          <w:tcPr>
            <w:tcW w:w="1235" w:type="dxa"/>
            <w:hideMark/>
          </w:tcPr>
          <w:p w14:paraId="74A7D9CB"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CD8</w:t>
            </w:r>
          </w:p>
        </w:tc>
        <w:tc>
          <w:tcPr>
            <w:tcW w:w="3709" w:type="dxa"/>
            <w:hideMark/>
          </w:tcPr>
          <w:p w14:paraId="665B442B" w14:textId="77777777" w:rsidR="003F17FF" w:rsidRDefault="003F17FF">
            <w:pPr>
              <w:autoSpaceDE w:val="0"/>
              <w:autoSpaceDN w:val="0"/>
              <w:adjustRightInd w:val="0"/>
              <w:snapToGrid w:val="0"/>
              <w:jc w:val="left"/>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Cell Signaling, Cat#: CST#70306</w:t>
            </w:r>
          </w:p>
        </w:tc>
        <w:tc>
          <w:tcPr>
            <w:tcW w:w="927" w:type="dxa"/>
            <w:hideMark/>
          </w:tcPr>
          <w:p w14:paraId="56531663"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AR9</w:t>
            </w:r>
          </w:p>
        </w:tc>
        <w:tc>
          <w:tcPr>
            <w:tcW w:w="1235" w:type="dxa"/>
            <w:hideMark/>
          </w:tcPr>
          <w:p w14:paraId="4C8EBBF7"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1:200</w:t>
            </w:r>
          </w:p>
        </w:tc>
      </w:tr>
      <w:tr w:rsidR="003F17FF" w14:paraId="78D9ABC5" w14:textId="77777777" w:rsidTr="003F17FF">
        <w:trPr>
          <w:trHeight w:val="174"/>
        </w:trPr>
        <w:tc>
          <w:tcPr>
            <w:tcW w:w="1268" w:type="dxa"/>
            <w:hideMark/>
          </w:tcPr>
          <w:p w14:paraId="64DA46F3"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620</w:t>
            </w:r>
          </w:p>
        </w:tc>
        <w:tc>
          <w:tcPr>
            <w:tcW w:w="1235" w:type="dxa"/>
            <w:hideMark/>
          </w:tcPr>
          <w:p w14:paraId="24E0C6F3"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PD-L1</w:t>
            </w:r>
          </w:p>
        </w:tc>
        <w:tc>
          <w:tcPr>
            <w:tcW w:w="3709" w:type="dxa"/>
            <w:hideMark/>
          </w:tcPr>
          <w:p w14:paraId="5E3D169E" w14:textId="77777777" w:rsidR="003F17FF" w:rsidRDefault="003F17FF">
            <w:pPr>
              <w:autoSpaceDE w:val="0"/>
              <w:autoSpaceDN w:val="0"/>
              <w:adjustRightInd w:val="0"/>
              <w:snapToGrid w:val="0"/>
              <w:jc w:val="left"/>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Cell Signaling, Cat#: CST#13684</w:t>
            </w:r>
          </w:p>
        </w:tc>
        <w:tc>
          <w:tcPr>
            <w:tcW w:w="927" w:type="dxa"/>
            <w:hideMark/>
          </w:tcPr>
          <w:p w14:paraId="68998A08"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AR9</w:t>
            </w:r>
          </w:p>
        </w:tc>
        <w:tc>
          <w:tcPr>
            <w:tcW w:w="1235" w:type="dxa"/>
            <w:hideMark/>
          </w:tcPr>
          <w:p w14:paraId="65513E8E"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1:100</w:t>
            </w:r>
          </w:p>
        </w:tc>
      </w:tr>
      <w:tr w:rsidR="003F17FF" w14:paraId="0B717ADA" w14:textId="77777777" w:rsidTr="003F17FF">
        <w:trPr>
          <w:trHeight w:val="174"/>
        </w:trPr>
        <w:tc>
          <w:tcPr>
            <w:tcW w:w="1268" w:type="dxa"/>
            <w:hideMark/>
          </w:tcPr>
          <w:p w14:paraId="519F8AC5"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690</w:t>
            </w:r>
          </w:p>
        </w:tc>
        <w:tc>
          <w:tcPr>
            <w:tcW w:w="1235" w:type="dxa"/>
            <w:hideMark/>
          </w:tcPr>
          <w:p w14:paraId="709B781D"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PD-1</w:t>
            </w:r>
          </w:p>
        </w:tc>
        <w:tc>
          <w:tcPr>
            <w:tcW w:w="3709" w:type="dxa"/>
            <w:hideMark/>
          </w:tcPr>
          <w:p w14:paraId="175BD47E" w14:textId="77777777" w:rsidR="003F17FF" w:rsidRDefault="003F17FF">
            <w:pPr>
              <w:autoSpaceDE w:val="0"/>
              <w:autoSpaceDN w:val="0"/>
              <w:adjustRightInd w:val="0"/>
              <w:snapToGrid w:val="0"/>
              <w:jc w:val="left"/>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Cell Signaling, Cat#: CST#86163</w:t>
            </w:r>
          </w:p>
        </w:tc>
        <w:tc>
          <w:tcPr>
            <w:tcW w:w="927" w:type="dxa"/>
            <w:hideMark/>
          </w:tcPr>
          <w:p w14:paraId="38F3A517"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AR9</w:t>
            </w:r>
          </w:p>
        </w:tc>
        <w:tc>
          <w:tcPr>
            <w:tcW w:w="1235" w:type="dxa"/>
            <w:hideMark/>
          </w:tcPr>
          <w:p w14:paraId="7611297C"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1:150</w:t>
            </w:r>
          </w:p>
        </w:tc>
      </w:tr>
      <w:tr w:rsidR="003F17FF" w14:paraId="234161D3" w14:textId="77777777" w:rsidTr="003F17FF">
        <w:trPr>
          <w:trHeight w:val="174"/>
        </w:trPr>
        <w:tc>
          <w:tcPr>
            <w:tcW w:w="1268" w:type="dxa"/>
            <w:tcBorders>
              <w:top w:val="nil"/>
              <w:left w:val="nil"/>
              <w:bottom w:val="single" w:sz="4" w:space="0" w:color="auto"/>
              <w:right w:val="nil"/>
            </w:tcBorders>
            <w:hideMark/>
          </w:tcPr>
          <w:p w14:paraId="1B82B9F7"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780</w:t>
            </w:r>
          </w:p>
        </w:tc>
        <w:tc>
          <w:tcPr>
            <w:tcW w:w="1235" w:type="dxa"/>
            <w:tcBorders>
              <w:top w:val="nil"/>
              <w:left w:val="nil"/>
              <w:bottom w:val="single" w:sz="4" w:space="0" w:color="auto"/>
              <w:right w:val="nil"/>
            </w:tcBorders>
            <w:hideMark/>
          </w:tcPr>
          <w:p w14:paraId="0124F820"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CD163</w:t>
            </w:r>
          </w:p>
        </w:tc>
        <w:tc>
          <w:tcPr>
            <w:tcW w:w="3709" w:type="dxa"/>
            <w:tcBorders>
              <w:top w:val="nil"/>
              <w:left w:val="nil"/>
              <w:bottom w:val="single" w:sz="4" w:space="0" w:color="auto"/>
              <w:right w:val="nil"/>
            </w:tcBorders>
            <w:hideMark/>
          </w:tcPr>
          <w:p w14:paraId="024F8A5E" w14:textId="77777777" w:rsidR="003F17FF" w:rsidRDefault="003F17FF">
            <w:pPr>
              <w:autoSpaceDE w:val="0"/>
              <w:autoSpaceDN w:val="0"/>
              <w:adjustRightInd w:val="0"/>
              <w:snapToGrid w:val="0"/>
              <w:jc w:val="left"/>
              <w:rPr>
                <w:rFonts w:ascii="Times New Roman" w:hAnsi="Times New Roman" w:cs="Times New Roman"/>
                <w:color w:val="000000" w:themeColor="text1"/>
                <w:sz w:val="24"/>
                <w:szCs w:val="28"/>
              </w:rPr>
            </w:pPr>
            <w:proofErr w:type="spellStart"/>
            <w:r>
              <w:rPr>
                <w:rFonts w:ascii="Times New Roman" w:hAnsi="Times New Roman" w:cs="Times New Roman"/>
                <w:color w:val="000000" w:themeColor="text1"/>
                <w:sz w:val="24"/>
                <w:szCs w:val="28"/>
              </w:rPr>
              <w:t>Abcam</w:t>
            </w:r>
            <w:proofErr w:type="spellEnd"/>
            <w:r>
              <w:rPr>
                <w:rFonts w:ascii="Times New Roman" w:hAnsi="Times New Roman" w:cs="Times New Roman"/>
                <w:color w:val="000000" w:themeColor="text1"/>
                <w:sz w:val="24"/>
                <w:szCs w:val="28"/>
              </w:rPr>
              <w:t>, Cat#: ab182422</w:t>
            </w:r>
          </w:p>
        </w:tc>
        <w:tc>
          <w:tcPr>
            <w:tcW w:w="927" w:type="dxa"/>
            <w:tcBorders>
              <w:top w:val="nil"/>
              <w:left w:val="nil"/>
              <w:bottom w:val="single" w:sz="4" w:space="0" w:color="auto"/>
              <w:right w:val="nil"/>
            </w:tcBorders>
            <w:hideMark/>
          </w:tcPr>
          <w:p w14:paraId="407BE81B"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AR9</w:t>
            </w:r>
          </w:p>
        </w:tc>
        <w:tc>
          <w:tcPr>
            <w:tcW w:w="1235" w:type="dxa"/>
            <w:tcBorders>
              <w:top w:val="nil"/>
              <w:left w:val="nil"/>
              <w:bottom w:val="single" w:sz="4" w:space="0" w:color="auto"/>
              <w:right w:val="nil"/>
            </w:tcBorders>
            <w:hideMark/>
          </w:tcPr>
          <w:p w14:paraId="6C841C5F"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1:500</w:t>
            </w:r>
          </w:p>
        </w:tc>
      </w:tr>
    </w:tbl>
    <w:p w14:paraId="1E529221" w14:textId="77777777" w:rsidR="003F17FF" w:rsidRDefault="003F17FF" w:rsidP="003F17FF">
      <w:pPr>
        <w:snapToGrid w:val="0"/>
        <w:rPr>
          <w:rFonts w:ascii="Times New Roman" w:hAnsi="Times New Roman" w:cs="Times New Roman"/>
          <w:color w:val="000000" w:themeColor="text1"/>
          <w:sz w:val="28"/>
          <w:szCs w:val="32"/>
        </w:rPr>
      </w:pPr>
    </w:p>
    <w:p w14:paraId="60BCB17C" w14:textId="77777777" w:rsidR="003F17FF" w:rsidRDefault="003F17FF" w:rsidP="003F17FF">
      <w:pPr>
        <w:snapToGrid w:val="0"/>
        <w:rPr>
          <w:rFonts w:ascii="Times New Roman" w:hAnsi="Times New Roman" w:cs="Times New Roman"/>
          <w:color w:val="000000" w:themeColor="text1"/>
          <w:sz w:val="28"/>
          <w:szCs w:val="32"/>
        </w:rPr>
      </w:pPr>
      <w:r>
        <w:rPr>
          <w:rFonts w:ascii="Times New Roman" w:hAnsi="Times New Roman" w:cs="Times New Roman"/>
          <w:color w:val="000000" w:themeColor="text1"/>
          <w:sz w:val="28"/>
          <w:szCs w:val="32"/>
        </w:rPr>
        <w:t xml:space="preserve">(3) Panel 3—stromal and vascular markers: SMA, CD66b, CD31, CD56, </w:t>
      </w:r>
      <w:bookmarkStart w:id="1" w:name="OLE_LINK10"/>
      <w:proofErr w:type="spellStart"/>
      <w:proofErr w:type="gramStart"/>
      <w:r>
        <w:rPr>
          <w:rFonts w:ascii="Times New Roman" w:hAnsi="Times New Roman" w:cs="Times New Roman"/>
          <w:color w:val="000000" w:themeColor="text1"/>
          <w:sz w:val="28"/>
          <w:szCs w:val="32"/>
        </w:rPr>
        <w:t>Panck</w:t>
      </w:r>
      <w:bookmarkEnd w:id="1"/>
      <w:proofErr w:type="spellEnd"/>
      <w:proofErr w:type="gramEnd"/>
      <w:r>
        <w:rPr>
          <w:rFonts w:ascii="Times New Roman" w:hAnsi="Times New Roman" w:cs="Times New Roman"/>
          <w:color w:val="000000" w:themeColor="text1"/>
          <w:sz w:val="28"/>
          <w:szCs w:val="32"/>
        </w:rPr>
        <w:t>.</w:t>
      </w:r>
    </w:p>
    <w:tbl>
      <w:tblPr>
        <w:tblW w:w="8535" w:type="dxa"/>
        <w:tblInd w:w="-30" w:type="dxa"/>
        <w:tblLayout w:type="fixed"/>
        <w:tblLook w:val="04A0" w:firstRow="1" w:lastRow="0" w:firstColumn="1" w:lastColumn="0" w:noHBand="0" w:noVBand="1"/>
      </w:tblPr>
      <w:tblGrid>
        <w:gridCol w:w="1268"/>
        <w:gridCol w:w="1235"/>
        <w:gridCol w:w="3197"/>
        <w:gridCol w:w="709"/>
        <w:gridCol w:w="2126"/>
      </w:tblGrid>
      <w:tr w:rsidR="003F17FF" w14:paraId="531A88ED" w14:textId="77777777" w:rsidTr="003F17FF">
        <w:trPr>
          <w:trHeight w:val="599"/>
        </w:trPr>
        <w:tc>
          <w:tcPr>
            <w:tcW w:w="1268" w:type="dxa"/>
            <w:tcBorders>
              <w:top w:val="single" w:sz="4" w:space="0" w:color="auto"/>
              <w:left w:val="nil"/>
              <w:bottom w:val="single" w:sz="4" w:space="0" w:color="auto"/>
              <w:right w:val="nil"/>
            </w:tcBorders>
            <w:vAlign w:val="center"/>
            <w:hideMark/>
          </w:tcPr>
          <w:p w14:paraId="41F1D669"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Opal dye</w:t>
            </w:r>
          </w:p>
        </w:tc>
        <w:tc>
          <w:tcPr>
            <w:tcW w:w="1235" w:type="dxa"/>
            <w:tcBorders>
              <w:top w:val="single" w:sz="4" w:space="0" w:color="auto"/>
              <w:left w:val="nil"/>
              <w:bottom w:val="single" w:sz="4" w:space="0" w:color="auto"/>
              <w:right w:val="nil"/>
            </w:tcBorders>
            <w:vAlign w:val="center"/>
            <w:hideMark/>
          </w:tcPr>
          <w:p w14:paraId="75BB575A"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Antibody target</w:t>
            </w:r>
          </w:p>
        </w:tc>
        <w:tc>
          <w:tcPr>
            <w:tcW w:w="3197" w:type="dxa"/>
            <w:tcBorders>
              <w:top w:val="single" w:sz="4" w:space="0" w:color="auto"/>
              <w:left w:val="nil"/>
              <w:bottom w:val="single" w:sz="4" w:space="0" w:color="auto"/>
              <w:right w:val="nil"/>
            </w:tcBorders>
            <w:vAlign w:val="center"/>
            <w:hideMark/>
          </w:tcPr>
          <w:p w14:paraId="2F131667"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Identifier</w:t>
            </w:r>
          </w:p>
        </w:tc>
        <w:tc>
          <w:tcPr>
            <w:tcW w:w="709" w:type="dxa"/>
            <w:tcBorders>
              <w:top w:val="single" w:sz="4" w:space="0" w:color="auto"/>
              <w:left w:val="nil"/>
              <w:bottom w:val="single" w:sz="4" w:space="0" w:color="auto"/>
              <w:right w:val="nil"/>
            </w:tcBorders>
            <w:vAlign w:val="center"/>
            <w:hideMark/>
          </w:tcPr>
          <w:p w14:paraId="0A4F26E4"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AR</w:t>
            </w:r>
          </w:p>
        </w:tc>
        <w:tc>
          <w:tcPr>
            <w:tcW w:w="2126" w:type="dxa"/>
            <w:tcBorders>
              <w:top w:val="single" w:sz="4" w:space="0" w:color="auto"/>
              <w:left w:val="nil"/>
              <w:bottom w:val="single" w:sz="4" w:space="0" w:color="auto"/>
              <w:right w:val="nil"/>
            </w:tcBorders>
            <w:vAlign w:val="center"/>
            <w:hideMark/>
          </w:tcPr>
          <w:p w14:paraId="1993B885"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Dilution</w:t>
            </w:r>
          </w:p>
        </w:tc>
      </w:tr>
      <w:tr w:rsidR="003F17FF" w14:paraId="75347C45" w14:textId="77777777" w:rsidTr="003F17FF">
        <w:trPr>
          <w:trHeight w:val="174"/>
        </w:trPr>
        <w:tc>
          <w:tcPr>
            <w:tcW w:w="1268" w:type="dxa"/>
            <w:hideMark/>
          </w:tcPr>
          <w:p w14:paraId="3C03D84B"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520</w:t>
            </w:r>
          </w:p>
        </w:tc>
        <w:tc>
          <w:tcPr>
            <w:tcW w:w="1235" w:type="dxa"/>
            <w:hideMark/>
          </w:tcPr>
          <w:p w14:paraId="7A8D9A2C"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proofErr w:type="spellStart"/>
            <w:r>
              <w:rPr>
                <w:rFonts w:ascii="Times New Roman" w:hAnsi="Times New Roman" w:cs="Times New Roman"/>
                <w:color w:val="000000" w:themeColor="text1"/>
                <w:sz w:val="24"/>
                <w:szCs w:val="28"/>
              </w:rPr>
              <w:t>Panck</w:t>
            </w:r>
            <w:proofErr w:type="spellEnd"/>
          </w:p>
        </w:tc>
        <w:tc>
          <w:tcPr>
            <w:tcW w:w="3197" w:type="dxa"/>
            <w:hideMark/>
          </w:tcPr>
          <w:p w14:paraId="25607D87" w14:textId="77777777" w:rsidR="003F17FF" w:rsidRDefault="003F17FF">
            <w:pPr>
              <w:autoSpaceDE w:val="0"/>
              <w:autoSpaceDN w:val="0"/>
              <w:adjustRightInd w:val="0"/>
              <w:snapToGrid w:val="0"/>
              <w:jc w:val="left"/>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MXB, Cat# MAB-0671</w:t>
            </w:r>
          </w:p>
        </w:tc>
        <w:tc>
          <w:tcPr>
            <w:tcW w:w="709" w:type="dxa"/>
            <w:hideMark/>
          </w:tcPr>
          <w:p w14:paraId="01BC5AF8"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AR9</w:t>
            </w:r>
          </w:p>
        </w:tc>
        <w:tc>
          <w:tcPr>
            <w:tcW w:w="2126" w:type="dxa"/>
            <w:hideMark/>
          </w:tcPr>
          <w:p w14:paraId="31FA950A" w14:textId="77777777" w:rsidR="003F17FF" w:rsidRDefault="003F17FF">
            <w:pPr>
              <w:autoSpaceDE w:val="0"/>
              <w:autoSpaceDN w:val="0"/>
              <w:adjustRightInd w:val="0"/>
              <w:snapToGrid w:val="0"/>
              <w:ind w:firstLineChars="150" w:firstLine="36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Ready to use</w:t>
            </w:r>
          </w:p>
        </w:tc>
      </w:tr>
      <w:tr w:rsidR="003F17FF" w14:paraId="34D3B59E" w14:textId="77777777" w:rsidTr="003F17FF">
        <w:trPr>
          <w:trHeight w:val="174"/>
        </w:trPr>
        <w:tc>
          <w:tcPr>
            <w:tcW w:w="1268" w:type="dxa"/>
            <w:hideMark/>
          </w:tcPr>
          <w:p w14:paraId="79905986"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570</w:t>
            </w:r>
          </w:p>
        </w:tc>
        <w:tc>
          <w:tcPr>
            <w:tcW w:w="1235" w:type="dxa"/>
            <w:hideMark/>
          </w:tcPr>
          <w:p w14:paraId="31C770A0"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SMA</w:t>
            </w:r>
          </w:p>
        </w:tc>
        <w:tc>
          <w:tcPr>
            <w:tcW w:w="3197" w:type="dxa"/>
            <w:hideMark/>
          </w:tcPr>
          <w:p w14:paraId="4B388935" w14:textId="77777777" w:rsidR="003F17FF" w:rsidRDefault="003F17FF">
            <w:pPr>
              <w:autoSpaceDE w:val="0"/>
              <w:autoSpaceDN w:val="0"/>
              <w:adjustRightInd w:val="0"/>
              <w:snapToGrid w:val="0"/>
              <w:jc w:val="left"/>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MXB, Cat#: MAB-0890</w:t>
            </w:r>
          </w:p>
        </w:tc>
        <w:tc>
          <w:tcPr>
            <w:tcW w:w="709" w:type="dxa"/>
            <w:hideMark/>
          </w:tcPr>
          <w:p w14:paraId="52F4A359"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AR9</w:t>
            </w:r>
          </w:p>
        </w:tc>
        <w:tc>
          <w:tcPr>
            <w:tcW w:w="2126" w:type="dxa"/>
            <w:hideMark/>
          </w:tcPr>
          <w:p w14:paraId="0E2B7928"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Ready to use</w:t>
            </w:r>
          </w:p>
        </w:tc>
      </w:tr>
      <w:tr w:rsidR="003F17FF" w14:paraId="6908558F" w14:textId="77777777" w:rsidTr="003F17FF">
        <w:trPr>
          <w:trHeight w:val="174"/>
        </w:trPr>
        <w:tc>
          <w:tcPr>
            <w:tcW w:w="1268" w:type="dxa"/>
            <w:hideMark/>
          </w:tcPr>
          <w:p w14:paraId="38EB502E"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620</w:t>
            </w:r>
          </w:p>
        </w:tc>
        <w:tc>
          <w:tcPr>
            <w:tcW w:w="1235" w:type="dxa"/>
            <w:hideMark/>
          </w:tcPr>
          <w:p w14:paraId="366FD020"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CD31</w:t>
            </w:r>
          </w:p>
        </w:tc>
        <w:tc>
          <w:tcPr>
            <w:tcW w:w="3197" w:type="dxa"/>
            <w:hideMark/>
          </w:tcPr>
          <w:p w14:paraId="7A90262D" w14:textId="77777777" w:rsidR="003F17FF" w:rsidRDefault="003F17FF">
            <w:pPr>
              <w:autoSpaceDE w:val="0"/>
              <w:autoSpaceDN w:val="0"/>
              <w:adjustRightInd w:val="0"/>
              <w:snapToGrid w:val="0"/>
              <w:jc w:val="left"/>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MXB, Cat#: MAB-0720</w:t>
            </w:r>
          </w:p>
        </w:tc>
        <w:tc>
          <w:tcPr>
            <w:tcW w:w="709" w:type="dxa"/>
            <w:hideMark/>
          </w:tcPr>
          <w:p w14:paraId="0715824A"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AR9</w:t>
            </w:r>
          </w:p>
        </w:tc>
        <w:tc>
          <w:tcPr>
            <w:tcW w:w="2126" w:type="dxa"/>
            <w:hideMark/>
          </w:tcPr>
          <w:p w14:paraId="5F34009C"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Ready to use</w:t>
            </w:r>
          </w:p>
        </w:tc>
      </w:tr>
      <w:tr w:rsidR="003F17FF" w14:paraId="777D26CB" w14:textId="77777777" w:rsidTr="003F17FF">
        <w:trPr>
          <w:trHeight w:val="174"/>
        </w:trPr>
        <w:tc>
          <w:tcPr>
            <w:tcW w:w="1268" w:type="dxa"/>
            <w:hideMark/>
          </w:tcPr>
          <w:p w14:paraId="7FC73692"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690</w:t>
            </w:r>
          </w:p>
        </w:tc>
        <w:tc>
          <w:tcPr>
            <w:tcW w:w="1235" w:type="dxa"/>
            <w:hideMark/>
          </w:tcPr>
          <w:p w14:paraId="18858743"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CD66b</w:t>
            </w:r>
          </w:p>
        </w:tc>
        <w:tc>
          <w:tcPr>
            <w:tcW w:w="3197" w:type="dxa"/>
            <w:hideMark/>
          </w:tcPr>
          <w:p w14:paraId="55A2D15B" w14:textId="77777777" w:rsidR="003F17FF" w:rsidRDefault="003F17FF">
            <w:pPr>
              <w:autoSpaceDE w:val="0"/>
              <w:autoSpaceDN w:val="0"/>
              <w:adjustRightInd w:val="0"/>
              <w:snapToGrid w:val="0"/>
              <w:jc w:val="left"/>
              <w:rPr>
                <w:rFonts w:ascii="Times New Roman" w:hAnsi="Times New Roman" w:cs="Times New Roman"/>
                <w:color w:val="000000" w:themeColor="text1"/>
                <w:sz w:val="24"/>
                <w:szCs w:val="28"/>
              </w:rPr>
            </w:pPr>
            <w:proofErr w:type="spellStart"/>
            <w:r>
              <w:rPr>
                <w:rFonts w:ascii="Times New Roman" w:hAnsi="Times New Roman" w:cs="Times New Roman"/>
                <w:color w:val="000000" w:themeColor="text1"/>
                <w:sz w:val="24"/>
                <w:szCs w:val="28"/>
              </w:rPr>
              <w:t>Proteintech</w:t>
            </w:r>
            <w:proofErr w:type="spellEnd"/>
            <w:r>
              <w:rPr>
                <w:rFonts w:ascii="Times New Roman" w:hAnsi="Times New Roman" w:cs="Times New Roman"/>
                <w:color w:val="000000" w:themeColor="text1"/>
                <w:sz w:val="24"/>
                <w:szCs w:val="28"/>
              </w:rPr>
              <w:t>, Cat#: 30875-1-AP</w:t>
            </w:r>
          </w:p>
        </w:tc>
        <w:tc>
          <w:tcPr>
            <w:tcW w:w="709" w:type="dxa"/>
            <w:hideMark/>
          </w:tcPr>
          <w:p w14:paraId="62467CDA"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AR9</w:t>
            </w:r>
          </w:p>
        </w:tc>
        <w:tc>
          <w:tcPr>
            <w:tcW w:w="2126" w:type="dxa"/>
            <w:hideMark/>
          </w:tcPr>
          <w:p w14:paraId="4530AD82"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1:1000</w:t>
            </w:r>
          </w:p>
        </w:tc>
      </w:tr>
      <w:tr w:rsidR="003F17FF" w14:paraId="6B164029" w14:textId="77777777" w:rsidTr="003F17FF">
        <w:trPr>
          <w:trHeight w:val="174"/>
        </w:trPr>
        <w:tc>
          <w:tcPr>
            <w:tcW w:w="1268" w:type="dxa"/>
            <w:tcBorders>
              <w:top w:val="nil"/>
              <w:left w:val="nil"/>
              <w:bottom w:val="single" w:sz="4" w:space="0" w:color="auto"/>
              <w:right w:val="nil"/>
            </w:tcBorders>
            <w:hideMark/>
          </w:tcPr>
          <w:p w14:paraId="17464065"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780</w:t>
            </w:r>
          </w:p>
        </w:tc>
        <w:tc>
          <w:tcPr>
            <w:tcW w:w="1235" w:type="dxa"/>
            <w:tcBorders>
              <w:top w:val="nil"/>
              <w:left w:val="nil"/>
              <w:bottom w:val="single" w:sz="4" w:space="0" w:color="auto"/>
              <w:right w:val="nil"/>
            </w:tcBorders>
            <w:hideMark/>
          </w:tcPr>
          <w:p w14:paraId="7D2125E6"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CD56</w:t>
            </w:r>
          </w:p>
        </w:tc>
        <w:tc>
          <w:tcPr>
            <w:tcW w:w="3197" w:type="dxa"/>
            <w:tcBorders>
              <w:top w:val="nil"/>
              <w:left w:val="nil"/>
              <w:bottom w:val="single" w:sz="4" w:space="0" w:color="auto"/>
              <w:right w:val="nil"/>
            </w:tcBorders>
            <w:hideMark/>
          </w:tcPr>
          <w:p w14:paraId="7BB7E622" w14:textId="77777777" w:rsidR="003F17FF" w:rsidRDefault="003F17FF">
            <w:pPr>
              <w:autoSpaceDE w:val="0"/>
              <w:autoSpaceDN w:val="0"/>
              <w:adjustRightInd w:val="0"/>
              <w:snapToGrid w:val="0"/>
              <w:jc w:val="left"/>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MXB, Cat#: MAB-0743</w:t>
            </w:r>
          </w:p>
        </w:tc>
        <w:tc>
          <w:tcPr>
            <w:tcW w:w="709" w:type="dxa"/>
            <w:tcBorders>
              <w:top w:val="nil"/>
              <w:left w:val="nil"/>
              <w:bottom w:val="single" w:sz="4" w:space="0" w:color="auto"/>
              <w:right w:val="nil"/>
            </w:tcBorders>
            <w:hideMark/>
          </w:tcPr>
          <w:p w14:paraId="590490AC"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AR9</w:t>
            </w:r>
          </w:p>
        </w:tc>
        <w:tc>
          <w:tcPr>
            <w:tcW w:w="2126" w:type="dxa"/>
            <w:tcBorders>
              <w:top w:val="nil"/>
              <w:left w:val="nil"/>
              <w:bottom w:val="single" w:sz="4" w:space="0" w:color="auto"/>
              <w:right w:val="nil"/>
            </w:tcBorders>
            <w:hideMark/>
          </w:tcPr>
          <w:p w14:paraId="1F2F0D19" w14:textId="77777777" w:rsidR="003F17FF" w:rsidRDefault="003F17FF">
            <w:pPr>
              <w:autoSpaceDE w:val="0"/>
              <w:autoSpaceDN w:val="0"/>
              <w:adjustRightInd w:val="0"/>
              <w:snapToGrid w:val="0"/>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Ready to use</w:t>
            </w:r>
          </w:p>
        </w:tc>
      </w:tr>
    </w:tbl>
    <w:p w14:paraId="4FA85B0E" w14:textId="77777777" w:rsidR="003F17FF" w:rsidRDefault="003F17FF" w:rsidP="003F17FF">
      <w:pPr>
        <w:snapToGrid w:val="0"/>
        <w:rPr>
          <w:rFonts w:ascii="Times New Roman" w:hAnsi="Times New Roman" w:cs="Times New Roman"/>
          <w:color w:val="000000" w:themeColor="text1"/>
          <w:sz w:val="28"/>
          <w:szCs w:val="32"/>
        </w:rPr>
      </w:pPr>
    </w:p>
    <w:p w14:paraId="08BA132A" w14:textId="77777777" w:rsidR="003F17FF" w:rsidRDefault="003F17FF" w:rsidP="003F17FF">
      <w:pPr>
        <w:snapToGrid w:val="0"/>
        <w:rPr>
          <w:rFonts w:ascii="Times New Roman" w:hAnsi="Times New Roman" w:cs="Times New Roman"/>
          <w:color w:val="000000" w:themeColor="text1"/>
          <w:sz w:val="28"/>
          <w:szCs w:val="32"/>
        </w:rPr>
      </w:pPr>
    </w:p>
    <w:p w14:paraId="51A92B1A" w14:textId="61E756CA" w:rsidR="00C23588" w:rsidRDefault="003F17FF" w:rsidP="003F17FF">
      <w:pPr>
        <w:widowControl/>
        <w:jc w:val="left"/>
        <w:rPr>
          <w:rFonts w:ascii="Times New Roman" w:hAnsi="Times New Roman" w:cs="Times New Roman"/>
          <w:color w:val="000000" w:themeColor="text1"/>
          <w:sz w:val="22"/>
          <w:szCs w:val="24"/>
        </w:rPr>
      </w:pPr>
      <w:r>
        <w:rPr>
          <w:rFonts w:ascii="Times New Roman" w:hAnsi="Times New Roman" w:cs="Times New Roman"/>
          <w:color w:val="000000" w:themeColor="text1"/>
          <w:sz w:val="22"/>
          <w:szCs w:val="24"/>
        </w:rPr>
        <w:br w:type="page"/>
      </w:r>
    </w:p>
    <w:p w14:paraId="04A78141" w14:textId="10142213" w:rsidR="00C23588" w:rsidRPr="004458AA" w:rsidRDefault="00C23588" w:rsidP="00CD5820">
      <w:pPr>
        <w:snapToGrid w:val="0"/>
        <w:rPr>
          <w:rFonts w:ascii="Times New Roman" w:hAnsi="Times New Roman" w:cs="Times New Roman"/>
          <w:b/>
          <w:bCs/>
          <w:color w:val="000000" w:themeColor="text1"/>
          <w:sz w:val="28"/>
          <w:szCs w:val="32"/>
        </w:rPr>
      </w:pPr>
      <w:r w:rsidRPr="00CD5820">
        <w:rPr>
          <w:rFonts w:ascii="Times New Roman" w:hAnsi="Times New Roman" w:cs="Times New Roman"/>
          <w:b/>
          <w:bCs/>
          <w:color w:val="000000" w:themeColor="text1"/>
          <w:sz w:val="28"/>
          <w:szCs w:val="32"/>
        </w:rPr>
        <w:lastRenderedPageBreak/>
        <w:t xml:space="preserve">Supplementary </w:t>
      </w:r>
      <w:r>
        <w:rPr>
          <w:rFonts w:ascii="Times New Roman" w:hAnsi="Times New Roman" w:cs="Times New Roman" w:hint="eastAsia"/>
          <w:b/>
          <w:bCs/>
          <w:color w:val="000000" w:themeColor="text1"/>
          <w:sz w:val="28"/>
          <w:szCs w:val="32"/>
        </w:rPr>
        <w:t>Table</w:t>
      </w:r>
      <w:r>
        <w:rPr>
          <w:rFonts w:ascii="Times New Roman" w:hAnsi="Times New Roman" w:cs="Times New Roman"/>
          <w:b/>
          <w:bCs/>
          <w:color w:val="000000" w:themeColor="text1"/>
          <w:sz w:val="28"/>
          <w:szCs w:val="32"/>
        </w:rPr>
        <w:t xml:space="preserve"> </w:t>
      </w:r>
      <w:r w:rsidR="003F17FF">
        <w:rPr>
          <w:rFonts w:ascii="Times New Roman" w:hAnsi="Times New Roman" w:cs="Times New Roman" w:hint="eastAsia"/>
          <w:b/>
          <w:bCs/>
          <w:color w:val="000000" w:themeColor="text1"/>
          <w:sz w:val="28"/>
          <w:szCs w:val="32"/>
        </w:rPr>
        <w:t>2</w:t>
      </w:r>
    </w:p>
    <w:p w14:paraId="05EBC433" w14:textId="7973D1AA" w:rsidR="00AA7E22" w:rsidRDefault="00C23588" w:rsidP="00CD5820">
      <w:pPr>
        <w:snapToGrid w:val="0"/>
        <w:rPr>
          <w:rFonts w:ascii="Times New Roman" w:hAnsi="Times New Roman" w:cs="Times New Roman"/>
          <w:color w:val="000000" w:themeColor="text1"/>
          <w:sz w:val="28"/>
          <w:szCs w:val="32"/>
        </w:rPr>
      </w:pPr>
      <w:proofErr w:type="gramStart"/>
      <w:r w:rsidRPr="00C23588">
        <w:rPr>
          <w:rFonts w:ascii="Times New Roman" w:hAnsi="Times New Roman" w:cs="Times New Roman"/>
          <w:color w:val="000000" w:themeColor="text1"/>
          <w:sz w:val="28"/>
          <w:szCs w:val="32"/>
        </w:rPr>
        <w:t>Patient characteristics</w:t>
      </w:r>
      <w:r w:rsidR="00AA7E22">
        <w:rPr>
          <w:rFonts w:ascii="Times New Roman" w:hAnsi="Times New Roman" w:cs="Times New Roman"/>
          <w:color w:val="000000" w:themeColor="text1"/>
          <w:sz w:val="28"/>
          <w:szCs w:val="32"/>
        </w:rPr>
        <w:t>.</w:t>
      </w:r>
      <w:proofErr w:type="gramEnd"/>
      <w:r w:rsidR="00AA7E22">
        <w:rPr>
          <w:rFonts w:ascii="Times New Roman" w:hAnsi="Times New Roman" w:cs="Times New Roman"/>
          <w:color w:val="000000" w:themeColor="text1"/>
          <w:sz w:val="28"/>
          <w:szCs w:val="32"/>
        </w:rPr>
        <w:t xml:space="preserve"> The table summarizes the retrospective CRC</w:t>
      </w:r>
      <w:r w:rsidR="00AA7E22">
        <w:rPr>
          <w:rFonts w:ascii="Times New Roman" w:hAnsi="Times New Roman" w:cs="Times New Roman" w:hint="eastAsia"/>
          <w:color w:val="000000" w:themeColor="text1"/>
          <w:sz w:val="28"/>
          <w:szCs w:val="32"/>
        </w:rPr>
        <w:t xml:space="preserve"> </w:t>
      </w:r>
      <w:r w:rsidR="00AA7E22">
        <w:rPr>
          <w:rFonts w:ascii="Times New Roman" w:hAnsi="Times New Roman" w:cs="Times New Roman"/>
          <w:color w:val="000000" w:themeColor="text1"/>
          <w:sz w:val="28"/>
          <w:szCs w:val="32"/>
        </w:rPr>
        <w:t xml:space="preserve">source cohort, the 480-core CRC image-analysis cohort, and 124-core cross-cancer </w:t>
      </w:r>
      <w:r w:rsidR="004458AA">
        <w:rPr>
          <w:rFonts w:ascii="Times New Roman" w:hAnsi="Times New Roman" w:cs="Times New Roman"/>
          <w:color w:val="000000" w:themeColor="text1"/>
          <w:sz w:val="28"/>
          <w:szCs w:val="32"/>
        </w:rPr>
        <w:t>TMA cohort.</w:t>
      </w:r>
    </w:p>
    <w:p w14:paraId="6B3F5BCB" w14:textId="77777777" w:rsidR="004458AA" w:rsidRPr="004458AA" w:rsidRDefault="004458AA" w:rsidP="00CD5820">
      <w:pPr>
        <w:snapToGrid w:val="0"/>
        <w:rPr>
          <w:rFonts w:ascii="Times New Roman" w:hAnsi="Times New Roman" w:cs="Times New Roman"/>
          <w:color w:val="000000" w:themeColor="text1"/>
          <w:sz w:val="28"/>
          <w:szCs w:val="32"/>
        </w:rPr>
      </w:pPr>
    </w:p>
    <w:tbl>
      <w:tblPr>
        <w:tblStyle w:val="a4"/>
        <w:tblW w:w="0" w:type="auto"/>
        <w:tblLook w:val="04A0" w:firstRow="1" w:lastRow="0" w:firstColumn="1" w:lastColumn="0" w:noHBand="0" w:noVBand="1"/>
      </w:tblPr>
      <w:tblGrid>
        <w:gridCol w:w="4261"/>
        <w:gridCol w:w="4261"/>
      </w:tblGrid>
      <w:tr w:rsidR="004A25E6" w:rsidRPr="00582309" w14:paraId="48E322D4" w14:textId="77777777" w:rsidTr="00792F4D">
        <w:tc>
          <w:tcPr>
            <w:tcW w:w="4261" w:type="dxa"/>
            <w:shd w:val="clear" w:color="auto" w:fill="98A7BD" w:themeFill="text2" w:themeFillTint="80"/>
          </w:tcPr>
          <w:p w14:paraId="29BEBA74" w14:textId="77777777" w:rsidR="004A25E6" w:rsidRPr="00582309" w:rsidRDefault="004A25E6" w:rsidP="00792F4D">
            <w:pPr>
              <w:rPr>
                <w:sz w:val="24"/>
                <w:szCs w:val="24"/>
              </w:rPr>
            </w:pPr>
            <w:r w:rsidRPr="00582309">
              <w:rPr>
                <w:sz w:val="24"/>
                <w:szCs w:val="24"/>
              </w:rPr>
              <w:t>Characteristic</w:t>
            </w:r>
          </w:p>
        </w:tc>
        <w:tc>
          <w:tcPr>
            <w:tcW w:w="4261" w:type="dxa"/>
            <w:shd w:val="clear" w:color="auto" w:fill="98A7BD" w:themeFill="text2" w:themeFillTint="80"/>
          </w:tcPr>
          <w:p w14:paraId="1503ABD1" w14:textId="77777777" w:rsidR="004A25E6" w:rsidRPr="00582309" w:rsidRDefault="004A25E6" w:rsidP="00792F4D">
            <w:pPr>
              <w:rPr>
                <w:sz w:val="24"/>
                <w:szCs w:val="24"/>
              </w:rPr>
            </w:pPr>
            <w:r w:rsidRPr="00582309">
              <w:rPr>
                <w:sz w:val="24"/>
                <w:szCs w:val="24"/>
              </w:rPr>
              <w:t>Value</w:t>
            </w:r>
          </w:p>
        </w:tc>
      </w:tr>
      <w:tr w:rsidR="004A25E6" w:rsidRPr="00582309" w14:paraId="46AFD55B" w14:textId="77777777" w:rsidTr="00792F4D">
        <w:tc>
          <w:tcPr>
            <w:tcW w:w="4261" w:type="dxa"/>
            <w:shd w:val="clear" w:color="auto" w:fill="D9E2F3" w:themeFill="accent1" w:themeFillTint="33"/>
          </w:tcPr>
          <w:p w14:paraId="4CBBF7CE" w14:textId="77777777" w:rsidR="004A25E6" w:rsidRPr="00582309" w:rsidRDefault="004A25E6" w:rsidP="00792F4D">
            <w:pPr>
              <w:rPr>
                <w:sz w:val="24"/>
                <w:szCs w:val="24"/>
              </w:rPr>
            </w:pPr>
            <w:r w:rsidRPr="00582309">
              <w:rPr>
                <w:sz w:val="24"/>
                <w:szCs w:val="24"/>
              </w:rPr>
              <w:t>CRC source and image-analysis cohort</w:t>
            </w:r>
          </w:p>
        </w:tc>
        <w:tc>
          <w:tcPr>
            <w:tcW w:w="4261" w:type="dxa"/>
            <w:shd w:val="clear" w:color="auto" w:fill="D9E2F3" w:themeFill="accent1" w:themeFillTint="33"/>
          </w:tcPr>
          <w:p w14:paraId="621E7D0A" w14:textId="77777777" w:rsidR="004A25E6" w:rsidRPr="00582309" w:rsidRDefault="004A25E6" w:rsidP="00792F4D">
            <w:pPr>
              <w:rPr>
                <w:sz w:val="24"/>
                <w:szCs w:val="24"/>
              </w:rPr>
            </w:pPr>
          </w:p>
        </w:tc>
      </w:tr>
      <w:tr w:rsidR="004A25E6" w:rsidRPr="00582309" w14:paraId="3C648310" w14:textId="77777777" w:rsidTr="00792F4D">
        <w:tc>
          <w:tcPr>
            <w:tcW w:w="4261" w:type="dxa"/>
          </w:tcPr>
          <w:p w14:paraId="6298CD09" w14:textId="77777777" w:rsidR="004A25E6" w:rsidRPr="00582309" w:rsidRDefault="004A25E6" w:rsidP="00792F4D">
            <w:pPr>
              <w:rPr>
                <w:sz w:val="24"/>
                <w:szCs w:val="24"/>
              </w:rPr>
            </w:pPr>
            <w:r w:rsidRPr="00582309">
              <w:rPr>
                <w:sz w:val="24"/>
                <w:szCs w:val="24"/>
              </w:rPr>
              <w:t>Source retrospective resection cohort</w:t>
            </w:r>
          </w:p>
        </w:tc>
        <w:tc>
          <w:tcPr>
            <w:tcW w:w="4261" w:type="dxa"/>
          </w:tcPr>
          <w:p w14:paraId="1AFECF54" w14:textId="77777777" w:rsidR="004A25E6" w:rsidRPr="00582309" w:rsidRDefault="004A25E6" w:rsidP="00792F4D">
            <w:pPr>
              <w:rPr>
                <w:sz w:val="24"/>
                <w:szCs w:val="24"/>
              </w:rPr>
            </w:pPr>
            <w:r>
              <w:rPr>
                <w:rFonts w:hint="eastAsia"/>
                <w:sz w:val="24"/>
                <w:szCs w:val="24"/>
              </w:rPr>
              <w:t>1</w:t>
            </w:r>
            <w:r w:rsidRPr="001C73E8">
              <w:rPr>
                <w:sz w:val="24"/>
                <w:szCs w:val="24"/>
              </w:rPr>
              <w:t>288 patients</w:t>
            </w:r>
          </w:p>
        </w:tc>
      </w:tr>
      <w:tr w:rsidR="004A25E6" w:rsidRPr="00582309" w14:paraId="7E497CFB" w14:textId="77777777" w:rsidTr="00792F4D">
        <w:tc>
          <w:tcPr>
            <w:tcW w:w="4261" w:type="dxa"/>
          </w:tcPr>
          <w:p w14:paraId="7704C378" w14:textId="77777777" w:rsidR="004A25E6" w:rsidRPr="00582309" w:rsidRDefault="004A25E6" w:rsidP="00792F4D">
            <w:pPr>
              <w:rPr>
                <w:sz w:val="24"/>
                <w:szCs w:val="24"/>
              </w:rPr>
            </w:pPr>
            <w:r w:rsidRPr="00582309">
              <w:rPr>
                <w:sz w:val="24"/>
                <w:szCs w:val="24"/>
              </w:rPr>
              <w:t>Patients with physician-monitored survival follow-up</w:t>
            </w:r>
          </w:p>
        </w:tc>
        <w:tc>
          <w:tcPr>
            <w:tcW w:w="4261" w:type="dxa"/>
          </w:tcPr>
          <w:p w14:paraId="0CCBB773" w14:textId="77777777" w:rsidR="004A25E6" w:rsidRPr="00582309" w:rsidRDefault="004A25E6" w:rsidP="00792F4D">
            <w:pPr>
              <w:rPr>
                <w:sz w:val="24"/>
                <w:szCs w:val="24"/>
              </w:rPr>
            </w:pPr>
            <w:r w:rsidRPr="001C73E8">
              <w:rPr>
                <w:sz w:val="24"/>
                <w:szCs w:val="24"/>
              </w:rPr>
              <w:t>666 patients</w:t>
            </w:r>
          </w:p>
        </w:tc>
      </w:tr>
      <w:tr w:rsidR="004A25E6" w:rsidRPr="00582309" w14:paraId="00B86991" w14:textId="77777777" w:rsidTr="00792F4D">
        <w:tc>
          <w:tcPr>
            <w:tcW w:w="4261" w:type="dxa"/>
          </w:tcPr>
          <w:p w14:paraId="644CB0F4" w14:textId="77777777" w:rsidR="004A25E6" w:rsidRPr="00582309" w:rsidRDefault="004A25E6" w:rsidP="00792F4D">
            <w:pPr>
              <w:rPr>
                <w:sz w:val="24"/>
                <w:szCs w:val="24"/>
              </w:rPr>
            </w:pPr>
            <w:r w:rsidRPr="00582309">
              <w:rPr>
                <w:sz w:val="24"/>
                <w:szCs w:val="24"/>
              </w:rPr>
              <w:t>Main CRC image-analysis cohort</w:t>
            </w:r>
          </w:p>
        </w:tc>
        <w:tc>
          <w:tcPr>
            <w:tcW w:w="4261" w:type="dxa"/>
          </w:tcPr>
          <w:p w14:paraId="6D2D5F93" w14:textId="77777777" w:rsidR="004A25E6" w:rsidRPr="00582309" w:rsidRDefault="004A25E6" w:rsidP="00792F4D">
            <w:pPr>
              <w:rPr>
                <w:sz w:val="24"/>
                <w:szCs w:val="24"/>
              </w:rPr>
            </w:pPr>
            <w:r w:rsidRPr="001C73E8">
              <w:rPr>
                <w:sz w:val="24"/>
                <w:szCs w:val="24"/>
              </w:rPr>
              <w:t>480 TMA cores</w:t>
            </w:r>
          </w:p>
        </w:tc>
      </w:tr>
      <w:tr w:rsidR="004A25E6" w:rsidRPr="00582309" w14:paraId="595BEAAC" w14:textId="77777777" w:rsidTr="00792F4D">
        <w:tc>
          <w:tcPr>
            <w:tcW w:w="4261" w:type="dxa"/>
          </w:tcPr>
          <w:p w14:paraId="3DB68703" w14:textId="77777777" w:rsidR="004A25E6" w:rsidRPr="00582309" w:rsidRDefault="004A25E6" w:rsidP="00792F4D">
            <w:pPr>
              <w:rPr>
                <w:sz w:val="24"/>
                <w:szCs w:val="24"/>
              </w:rPr>
            </w:pPr>
            <w:r w:rsidRPr="00582309">
              <w:rPr>
                <w:sz w:val="24"/>
                <w:szCs w:val="24"/>
              </w:rPr>
              <w:t>Unit of CRC image analysis</w:t>
            </w:r>
          </w:p>
        </w:tc>
        <w:tc>
          <w:tcPr>
            <w:tcW w:w="4261" w:type="dxa"/>
          </w:tcPr>
          <w:p w14:paraId="1E6665CB" w14:textId="77777777" w:rsidR="004A25E6" w:rsidRPr="00582309" w:rsidRDefault="004A25E6" w:rsidP="00792F4D">
            <w:pPr>
              <w:rPr>
                <w:sz w:val="24"/>
                <w:szCs w:val="24"/>
              </w:rPr>
            </w:pPr>
            <w:r w:rsidRPr="001C73E8">
              <w:rPr>
                <w:sz w:val="24"/>
                <w:szCs w:val="24"/>
              </w:rPr>
              <w:t>TMA core</w:t>
            </w:r>
          </w:p>
        </w:tc>
      </w:tr>
      <w:tr w:rsidR="004A25E6" w:rsidRPr="00582309" w14:paraId="26DA6C4B" w14:textId="77777777" w:rsidTr="00792F4D">
        <w:tc>
          <w:tcPr>
            <w:tcW w:w="4261" w:type="dxa"/>
          </w:tcPr>
          <w:p w14:paraId="36469EBA" w14:textId="77777777" w:rsidR="004A25E6" w:rsidRPr="00582309" w:rsidRDefault="004A25E6" w:rsidP="00792F4D">
            <w:pPr>
              <w:rPr>
                <w:sz w:val="24"/>
                <w:szCs w:val="24"/>
              </w:rPr>
            </w:pPr>
            <w:r w:rsidRPr="00582309">
              <w:rPr>
                <w:sz w:val="24"/>
                <w:szCs w:val="24"/>
              </w:rPr>
              <w:t>CRC barrier group distribution</w:t>
            </w:r>
          </w:p>
        </w:tc>
        <w:tc>
          <w:tcPr>
            <w:tcW w:w="4261" w:type="dxa"/>
          </w:tcPr>
          <w:p w14:paraId="4E442208" w14:textId="77777777" w:rsidR="004A25E6" w:rsidRPr="00582309" w:rsidRDefault="004A25E6" w:rsidP="00792F4D">
            <w:pPr>
              <w:rPr>
                <w:sz w:val="24"/>
                <w:szCs w:val="24"/>
              </w:rPr>
            </w:pPr>
            <w:r w:rsidRPr="001C73E8">
              <w:rPr>
                <w:sz w:val="24"/>
                <w:szCs w:val="24"/>
              </w:rPr>
              <w:t>low: 160/480 (33.3%); intermediate: 160/480 (33.3%); high: 160/480 (33.3%)</w:t>
            </w:r>
          </w:p>
        </w:tc>
      </w:tr>
      <w:tr w:rsidR="004A25E6" w:rsidRPr="00582309" w14:paraId="5032A456" w14:textId="77777777" w:rsidTr="00792F4D">
        <w:tc>
          <w:tcPr>
            <w:tcW w:w="4261" w:type="dxa"/>
          </w:tcPr>
          <w:p w14:paraId="2479357E" w14:textId="77777777" w:rsidR="004A25E6" w:rsidRPr="00582309" w:rsidRDefault="004A25E6" w:rsidP="00792F4D">
            <w:pPr>
              <w:rPr>
                <w:sz w:val="24"/>
                <w:szCs w:val="24"/>
              </w:rPr>
            </w:pPr>
            <w:r w:rsidRPr="00582309">
              <w:rPr>
                <w:sz w:val="24"/>
                <w:szCs w:val="24"/>
              </w:rPr>
              <w:t>Age, median (IQR), years</w:t>
            </w:r>
          </w:p>
        </w:tc>
        <w:tc>
          <w:tcPr>
            <w:tcW w:w="4261" w:type="dxa"/>
          </w:tcPr>
          <w:p w14:paraId="5905D7BF" w14:textId="77777777" w:rsidR="004A25E6" w:rsidRPr="00582309" w:rsidRDefault="004A25E6" w:rsidP="00792F4D">
            <w:pPr>
              <w:rPr>
                <w:sz w:val="24"/>
                <w:szCs w:val="24"/>
              </w:rPr>
            </w:pPr>
            <w:r w:rsidRPr="00B35BBE">
              <w:rPr>
                <w:sz w:val="24"/>
                <w:szCs w:val="24"/>
              </w:rPr>
              <w:t>63 (53-71)</w:t>
            </w:r>
          </w:p>
        </w:tc>
      </w:tr>
      <w:tr w:rsidR="004A25E6" w:rsidRPr="00582309" w14:paraId="13DCCC55" w14:textId="77777777" w:rsidTr="00792F4D">
        <w:tc>
          <w:tcPr>
            <w:tcW w:w="4261" w:type="dxa"/>
          </w:tcPr>
          <w:p w14:paraId="41D74AF0" w14:textId="77777777" w:rsidR="004A25E6" w:rsidRPr="00582309" w:rsidRDefault="004A25E6" w:rsidP="00792F4D">
            <w:pPr>
              <w:rPr>
                <w:sz w:val="24"/>
                <w:szCs w:val="24"/>
              </w:rPr>
            </w:pPr>
            <w:r w:rsidRPr="00582309">
              <w:rPr>
                <w:sz w:val="24"/>
                <w:szCs w:val="24"/>
              </w:rPr>
              <w:t>Male sex</w:t>
            </w:r>
          </w:p>
        </w:tc>
        <w:tc>
          <w:tcPr>
            <w:tcW w:w="4261" w:type="dxa"/>
          </w:tcPr>
          <w:p w14:paraId="7B62AEE7" w14:textId="77777777" w:rsidR="004A25E6" w:rsidRPr="00582309" w:rsidRDefault="004A25E6" w:rsidP="00792F4D">
            <w:pPr>
              <w:rPr>
                <w:sz w:val="24"/>
                <w:szCs w:val="24"/>
              </w:rPr>
            </w:pPr>
            <w:r w:rsidRPr="00B35BBE">
              <w:rPr>
                <w:sz w:val="24"/>
                <w:szCs w:val="24"/>
              </w:rPr>
              <w:t>297/471 (63.1%)</w:t>
            </w:r>
          </w:p>
        </w:tc>
      </w:tr>
      <w:tr w:rsidR="004A25E6" w:rsidRPr="00582309" w14:paraId="20086D03" w14:textId="77777777" w:rsidTr="00792F4D">
        <w:tc>
          <w:tcPr>
            <w:tcW w:w="4261" w:type="dxa"/>
          </w:tcPr>
          <w:p w14:paraId="18978876" w14:textId="77777777" w:rsidR="004A25E6" w:rsidRPr="00582309" w:rsidRDefault="004A25E6" w:rsidP="00792F4D">
            <w:pPr>
              <w:rPr>
                <w:sz w:val="24"/>
                <w:szCs w:val="24"/>
              </w:rPr>
            </w:pPr>
            <w:r w:rsidRPr="00582309">
              <w:rPr>
                <w:sz w:val="24"/>
                <w:szCs w:val="24"/>
              </w:rPr>
              <w:t>MSI/MMR status</w:t>
            </w:r>
          </w:p>
        </w:tc>
        <w:tc>
          <w:tcPr>
            <w:tcW w:w="4261" w:type="dxa"/>
          </w:tcPr>
          <w:p w14:paraId="085AD776" w14:textId="77777777" w:rsidR="004A25E6" w:rsidRPr="00582309" w:rsidRDefault="004A25E6" w:rsidP="00792F4D">
            <w:pPr>
              <w:rPr>
                <w:sz w:val="24"/>
                <w:szCs w:val="24"/>
              </w:rPr>
            </w:pPr>
            <w:proofErr w:type="spellStart"/>
            <w:r w:rsidRPr="001C73E8">
              <w:rPr>
                <w:sz w:val="24"/>
                <w:szCs w:val="24"/>
              </w:rPr>
              <w:t>pMMR</w:t>
            </w:r>
            <w:proofErr w:type="spellEnd"/>
            <w:r w:rsidRPr="001C73E8">
              <w:rPr>
                <w:sz w:val="24"/>
                <w:szCs w:val="24"/>
              </w:rPr>
              <w:t xml:space="preserve">/MSS: 380/433 (87.8%); </w:t>
            </w:r>
            <w:proofErr w:type="spellStart"/>
            <w:r w:rsidRPr="001C73E8">
              <w:rPr>
                <w:sz w:val="24"/>
                <w:szCs w:val="24"/>
              </w:rPr>
              <w:t>dMMR</w:t>
            </w:r>
            <w:proofErr w:type="spellEnd"/>
            <w:r w:rsidRPr="001C73E8">
              <w:rPr>
                <w:sz w:val="24"/>
                <w:szCs w:val="24"/>
              </w:rPr>
              <w:t>/MSI-H: 53/433 (12.2%)</w:t>
            </w:r>
          </w:p>
        </w:tc>
      </w:tr>
      <w:tr w:rsidR="004A25E6" w:rsidRPr="00582309" w14:paraId="38D02231" w14:textId="77777777" w:rsidTr="00792F4D">
        <w:tc>
          <w:tcPr>
            <w:tcW w:w="4261" w:type="dxa"/>
          </w:tcPr>
          <w:p w14:paraId="7E4AC6D5" w14:textId="77777777" w:rsidR="004A25E6" w:rsidRPr="00582309" w:rsidRDefault="004A25E6" w:rsidP="00792F4D">
            <w:pPr>
              <w:rPr>
                <w:sz w:val="24"/>
                <w:szCs w:val="24"/>
              </w:rPr>
            </w:pPr>
            <w:r w:rsidRPr="00582309">
              <w:rPr>
                <w:sz w:val="24"/>
                <w:szCs w:val="24"/>
              </w:rPr>
              <w:t>Node-positive disease</w:t>
            </w:r>
          </w:p>
        </w:tc>
        <w:tc>
          <w:tcPr>
            <w:tcW w:w="4261" w:type="dxa"/>
          </w:tcPr>
          <w:p w14:paraId="15BAC2CE" w14:textId="77777777" w:rsidR="004A25E6" w:rsidRPr="00582309" w:rsidRDefault="004A25E6" w:rsidP="00792F4D">
            <w:pPr>
              <w:rPr>
                <w:sz w:val="24"/>
                <w:szCs w:val="24"/>
              </w:rPr>
            </w:pPr>
            <w:r w:rsidRPr="001C73E8">
              <w:rPr>
                <w:sz w:val="24"/>
                <w:szCs w:val="24"/>
              </w:rPr>
              <w:t>201/465 (43.2%)</w:t>
            </w:r>
          </w:p>
        </w:tc>
      </w:tr>
      <w:tr w:rsidR="004A25E6" w:rsidRPr="00582309" w14:paraId="24D7745F" w14:textId="77777777" w:rsidTr="00792F4D">
        <w:tc>
          <w:tcPr>
            <w:tcW w:w="4261" w:type="dxa"/>
          </w:tcPr>
          <w:p w14:paraId="23BC84F9" w14:textId="77777777" w:rsidR="004A25E6" w:rsidRPr="00582309" w:rsidRDefault="004A25E6" w:rsidP="00792F4D">
            <w:pPr>
              <w:rPr>
                <w:sz w:val="24"/>
                <w:szCs w:val="24"/>
              </w:rPr>
            </w:pPr>
            <w:r w:rsidRPr="00582309">
              <w:rPr>
                <w:sz w:val="24"/>
                <w:szCs w:val="24"/>
              </w:rPr>
              <w:t>Metastasis</w:t>
            </w:r>
          </w:p>
        </w:tc>
        <w:tc>
          <w:tcPr>
            <w:tcW w:w="4261" w:type="dxa"/>
          </w:tcPr>
          <w:p w14:paraId="12460FC3" w14:textId="77777777" w:rsidR="004A25E6" w:rsidRPr="00582309" w:rsidRDefault="004A25E6" w:rsidP="00792F4D">
            <w:pPr>
              <w:rPr>
                <w:sz w:val="24"/>
                <w:szCs w:val="24"/>
              </w:rPr>
            </w:pPr>
            <w:r w:rsidRPr="001C73E8">
              <w:rPr>
                <w:sz w:val="24"/>
                <w:szCs w:val="24"/>
              </w:rPr>
              <w:t>44/462 (9.5%)</w:t>
            </w:r>
          </w:p>
        </w:tc>
      </w:tr>
      <w:tr w:rsidR="004A25E6" w:rsidRPr="00582309" w14:paraId="4B606929" w14:textId="77777777" w:rsidTr="00792F4D">
        <w:tc>
          <w:tcPr>
            <w:tcW w:w="4261" w:type="dxa"/>
          </w:tcPr>
          <w:p w14:paraId="789833C1" w14:textId="77777777" w:rsidR="004A25E6" w:rsidRPr="00582309" w:rsidRDefault="004A25E6" w:rsidP="00792F4D">
            <w:pPr>
              <w:rPr>
                <w:sz w:val="24"/>
                <w:szCs w:val="24"/>
              </w:rPr>
            </w:pPr>
            <w:proofErr w:type="spellStart"/>
            <w:r w:rsidRPr="00582309">
              <w:rPr>
                <w:sz w:val="24"/>
                <w:szCs w:val="24"/>
              </w:rPr>
              <w:t>Lymphovascular</w:t>
            </w:r>
            <w:proofErr w:type="spellEnd"/>
            <w:r w:rsidRPr="00582309">
              <w:rPr>
                <w:sz w:val="24"/>
                <w:szCs w:val="24"/>
              </w:rPr>
              <w:t xml:space="preserve"> invasion</w:t>
            </w:r>
          </w:p>
        </w:tc>
        <w:tc>
          <w:tcPr>
            <w:tcW w:w="4261" w:type="dxa"/>
          </w:tcPr>
          <w:p w14:paraId="02066BC0" w14:textId="77777777" w:rsidR="004A25E6" w:rsidRPr="00582309" w:rsidRDefault="004A25E6" w:rsidP="00792F4D">
            <w:pPr>
              <w:rPr>
                <w:sz w:val="24"/>
                <w:szCs w:val="24"/>
              </w:rPr>
            </w:pPr>
            <w:r w:rsidRPr="001C73E8">
              <w:rPr>
                <w:sz w:val="24"/>
                <w:szCs w:val="24"/>
              </w:rPr>
              <w:t>298/466 (63.9%)</w:t>
            </w:r>
          </w:p>
        </w:tc>
      </w:tr>
      <w:tr w:rsidR="004A25E6" w:rsidRPr="00582309" w14:paraId="709B8ADA" w14:textId="77777777" w:rsidTr="00792F4D">
        <w:tc>
          <w:tcPr>
            <w:tcW w:w="4261" w:type="dxa"/>
          </w:tcPr>
          <w:p w14:paraId="4CAF1D84" w14:textId="77777777" w:rsidR="004A25E6" w:rsidRPr="00582309" w:rsidRDefault="004A25E6" w:rsidP="00792F4D">
            <w:pPr>
              <w:rPr>
                <w:sz w:val="24"/>
                <w:szCs w:val="24"/>
              </w:rPr>
            </w:pPr>
            <w:r w:rsidRPr="00582309">
              <w:rPr>
                <w:sz w:val="24"/>
                <w:szCs w:val="24"/>
              </w:rPr>
              <w:t>Perineural invasion</w:t>
            </w:r>
          </w:p>
        </w:tc>
        <w:tc>
          <w:tcPr>
            <w:tcW w:w="4261" w:type="dxa"/>
          </w:tcPr>
          <w:p w14:paraId="750C36B4" w14:textId="77777777" w:rsidR="004A25E6" w:rsidRPr="00582309" w:rsidRDefault="004A25E6" w:rsidP="00792F4D">
            <w:pPr>
              <w:rPr>
                <w:sz w:val="24"/>
                <w:szCs w:val="24"/>
              </w:rPr>
            </w:pPr>
            <w:r w:rsidRPr="001C73E8">
              <w:rPr>
                <w:sz w:val="24"/>
                <w:szCs w:val="24"/>
              </w:rPr>
              <w:t>117/466 (25.1%)</w:t>
            </w:r>
          </w:p>
        </w:tc>
      </w:tr>
      <w:tr w:rsidR="004A25E6" w:rsidRPr="00582309" w14:paraId="6789F8DC" w14:textId="77777777" w:rsidTr="00792F4D">
        <w:tc>
          <w:tcPr>
            <w:tcW w:w="4261" w:type="dxa"/>
          </w:tcPr>
          <w:p w14:paraId="1A2AC9F4" w14:textId="77777777" w:rsidR="004A25E6" w:rsidRPr="00582309" w:rsidRDefault="004A25E6" w:rsidP="00792F4D">
            <w:pPr>
              <w:rPr>
                <w:sz w:val="24"/>
                <w:szCs w:val="24"/>
              </w:rPr>
            </w:pPr>
            <w:r w:rsidRPr="00582309">
              <w:rPr>
                <w:sz w:val="24"/>
                <w:szCs w:val="24"/>
              </w:rPr>
              <w:t>High grade</w:t>
            </w:r>
          </w:p>
        </w:tc>
        <w:tc>
          <w:tcPr>
            <w:tcW w:w="4261" w:type="dxa"/>
          </w:tcPr>
          <w:p w14:paraId="769259BF" w14:textId="77777777" w:rsidR="004A25E6" w:rsidRPr="00582309" w:rsidRDefault="004A25E6" w:rsidP="00792F4D">
            <w:pPr>
              <w:rPr>
                <w:sz w:val="24"/>
                <w:szCs w:val="24"/>
              </w:rPr>
            </w:pPr>
            <w:r>
              <w:rPr>
                <w:rFonts w:hint="eastAsia"/>
                <w:sz w:val="24"/>
                <w:szCs w:val="24"/>
              </w:rPr>
              <w:t>6</w:t>
            </w:r>
            <w:r w:rsidRPr="001C73E8">
              <w:rPr>
                <w:sz w:val="24"/>
                <w:szCs w:val="24"/>
              </w:rPr>
              <w:t>7/471 (14.2%)</w:t>
            </w:r>
          </w:p>
        </w:tc>
      </w:tr>
      <w:tr w:rsidR="004A25E6" w:rsidRPr="00582309" w14:paraId="0B67D61C" w14:textId="77777777" w:rsidTr="00792F4D">
        <w:tc>
          <w:tcPr>
            <w:tcW w:w="4261" w:type="dxa"/>
          </w:tcPr>
          <w:p w14:paraId="331CEF28" w14:textId="77777777" w:rsidR="004A25E6" w:rsidRPr="00582309" w:rsidRDefault="004A25E6" w:rsidP="00792F4D">
            <w:pPr>
              <w:rPr>
                <w:sz w:val="24"/>
                <w:szCs w:val="24"/>
              </w:rPr>
            </w:pPr>
            <w:r w:rsidRPr="00582309">
              <w:rPr>
                <w:sz w:val="24"/>
                <w:szCs w:val="24"/>
              </w:rPr>
              <w:t xml:space="preserve">High </w:t>
            </w:r>
            <w:proofErr w:type="spellStart"/>
            <w:r w:rsidRPr="00582309">
              <w:rPr>
                <w:sz w:val="24"/>
                <w:szCs w:val="24"/>
              </w:rPr>
              <w:t>pT</w:t>
            </w:r>
            <w:proofErr w:type="spellEnd"/>
            <w:r w:rsidRPr="00582309">
              <w:rPr>
                <w:sz w:val="24"/>
                <w:szCs w:val="24"/>
              </w:rPr>
              <w:t xml:space="preserve"> category</w:t>
            </w:r>
          </w:p>
        </w:tc>
        <w:tc>
          <w:tcPr>
            <w:tcW w:w="4261" w:type="dxa"/>
          </w:tcPr>
          <w:p w14:paraId="780FA632" w14:textId="77777777" w:rsidR="004A25E6" w:rsidRPr="00582309" w:rsidRDefault="004A25E6" w:rsidP="00792F4D">
            <w:pPr>
              <w:rPr>
                <w:sz w:val="24"/>
                <w:szCs w:val="24"/>
              </w:rPr>
            </w:pPr>
            <w:r w:rsidRPr="001C73E8">
              <w:rPr>
                <w:sz w:val="24"/>
                <w:szCs w:val="24"/>
              </w:rPr>
              <w:t>50/466 (10.7%)</w:t>
            </w:r>
          </w:p>
        </w:tc>
      </w:tr>
      <w:tr w:rsidR="004A25E6" w:rsidRPr="00582309" w14:paraId="1F05A79D" w14:textId="77777777" w:rsidTr="00792F4D">
        <w:tc>
          <w:tcPr>
            <w:tcW w:w="4261" w:type="dxa"/>
            <w:shd w:val="clear" w:color="auto" w:fill="D9E2F3" w:themeFill="accent1" w:themeFillTint="33"/>
          </w:tcPr>
          <w:p w14:paraId="298DB316" w14:textId="77777777" w:rsidR="004A25E6" w:rsidRPr="00582309" w:rsidRDefault="004A25E6" w:rsidP="00792F4D">
            <w:pPr>
              <w:rPr>
                <w:sz w:val="24"/>
                <w:szCs w:val="24"/>
              </w:rPr>
            </w:pPr>
            <w:r w:rsidRPr="00582309">
              <w:rPr>
                <w:sz w:val="24"/>
                <w:szCs w:val="24"/>
              </w:rPr>
              <w:t>Cross-cancer multi-TMA cohort</w:t>
            </w:r>
          </w:p>
          <w:p w14:paraId="3C1C0E56" w14:textId="77777777" w:rsidR="004A25E6" w:rsidRPr="00582309" w:rsidRDefault="004A25E6" w:rsidP="00792F4D">
            <w:pPr>
              <w:rPr>
                <w:sz w:val="24"/>
                <w:szCs w:val="24"/>
              </w:rPr>
            </w:pPr>
          </w:p>
        </w:tc>
        <w:tc>
          <w:tcPr>
            <w:tcW w:w="4261" w:type="dxa"/>
            <w:shd w:val="clear" w:color="auto" w:fill="D9E2F3" w:themeFill="accent1" w:themeFillTint="33"/>
          </w:tcPr>
          <w:p w14:paraId="1B5ECDB0" w14:textId="77777777" w:rsidR="004A25E6" w:rsidRPr="00582309" w:rsidRDefault="004A25E6" w:rsidP="00792F4D">
            <w:pPr>
              <w:rPr>
                <w:sz w:val="24"/>
                <w:szCs w:val="24"/>
              </w:rPr>
            </w:pPr>
          </w:p>
        </w:tc>
      </w:tr>
      <w:tr w:rsidR="004A25E6" w:rsidRPr="00582309" w14:paraId="47ABFA42" w14:textId="77777777" w:rsidTr="00792F4D">
        <w:tc>
          <w:tcPr>
            <w:tcW w:w="4261" w:type="dxa"/>
          </w:tcPr>
          <w:p w14:paraId="36FC013C" w14:textId="77777777" w:rsidR="004A25E6" w:rsidRPr="00582309" w:rsidRDefault="004A25E6" w:rsidP="00792F4D">
            <w:pPr>
              <w:rPr>
                <w:sz w:val="24"/>
                <w:szCs w:val="24"/>
              </w:rPr>
            </w:pPr>
            <w:r w:rsidRPr="00582309">
              <w:rPr>
                <w:sz w:val="24"/>
                <w:szCs w:val="24"/>
              </w:rPr>
              <w:t>Multi-TMA image-analysis cohort</w:t>
            </w:r>
          </w:p>
          <w:p w14:paraId="7CC83468" w14:textId="77777777" w:rsidR="004A25E6" w:rsidRPr="00582309" w:rsidRDefault="004A25E6" w:rsidP="00792F4D">
            <w:pPr>
              <w:rPr>
                <w:sz w:val="24"/>
                <w:szCs w:val="24"/>
              </w:rPr>
            </w:pPr>
          </w:p>
        </w:tc>
        <w:tc>
          <w:tcPr>
            <w:tcW w:w="4261" w:type="dxa"/>
          </w:tcPr>
          <w:p w14:paraId="278F8347" w14:textId="77777777" w:rsidR="004A25E6" w:rsidRPr="00582309" w:rsidRDefault="004A25E6" w:rsidP="00792F4D">
            <w:pPr>
              <w:rPr>
                <w:sz w:val="24"/>
                <w:szCs w:val="24"/>
              </w:rPr>
            </w:pPr>
            <w:r w:rsidRPr="001C73E8">
              <w:rPr>
                <w:sz w:val="24"/>
                <w:szCs w:val="24"/>
              </w:rPr>
              <w:t>124 TMA cores</w:t>
            </w:r>
          </w:p>
        </w:tc>
      </w:tr>
      <w:tr w:rsidR="004A25E6" w:rsidRPr="00582309" w14:paraId="3D3FEB64" w14:textId="77777777" w:rsidTr="00792F4D">
        <w:tc>
          <w:tcPr>
            <w:tcW w:w="4261" w:type="dxa"/>
          </w:tcPr>
          <w:p w14:paraId="2BAC8A0C" w14:textId="77777777" w:rsidR="004A25E6" w:rsidRPr="00582309" w:rsidRDefault="004A25E6" w:rsidP="00792F4D">
            <w:pPr>
              <w:rPr>
                <w:sz w:val="24"/>
                <w:szCs w:val="24"/>
              </w:rPr>
            </w:pPr>
            <w:r w:rsidRPr="00582309">
              <w:rPr>
                <w:sz w:val="24"/>
                <w:szCs w:val="24"/>
              </w:rPr>
              <w:t>Number of tumor lineages</w:t>
            </w:r>
          </w:p>
        </w:tc>
        <w:tc>
          <w:tcPr>
            <w:tcW w:w="4261" w:type="dxa"/>
          </w:tcPr>
          <w:p w14:paraId="1538C08F" w14:textId="77777777" w:rsidR="004A25E6" w:rsidRPr="00582309" w:rsidRDefault="004A25E6" w:rsidP="00792F4D">
            <w:pPr>
              <w:rPr>
                <w:sz w:val="24"/>
                <w:szCs w:val="24"/>
              </w:rPr>
            </w:pPr>
            <w:r w:rsidRPr="001C73E8">
              <w:rPr>
                <w:sz w:val="24"/>
                <w:szCs w:val="24"/>
              </w:rPr>
              <w:t>10 tumor types</w:t>
            </w:r>
          </w:p>
        </w:tc>
      </w:tr>
      <w:tr w:rsidR="004A25E6" w:rsidRPr="00582309" w14:paraId="100675B3" w14:textId="77777777" w:rsidTr="00792F4D">
        <w:trPr>
          <w:trHeight w:val="479"/>
        </w:trPr>
        <w:tc>
          <w:tcPr>
            <w:tcW w:w="4261" w:type="dxa"/>
            <w:shd w:val="clear" w:color="auto" w:fill="D9E2F3" w:themeFill="accent1" w:themeFillTint="33"/>
          </w:tcPr>
          <w:p w14:paraId="58363311" w14:textId="77777777" w:rsidR="004A25E6" w:rsidRPr="00582309" w:rsidRDefault="004A25E6" w:rsidP="00792F4D">
            <w:pPr>
              <w:rPr>
                <w:sz w:val="24"/>
                <w:szCs w:val="24"/>
              </w:rPr>
            </w:pPr>
            <w:r w:rsidRPr="00582309">
              <w:rPr>
                <w:sz w:val="24"/>
                <w:szCs w:val="24"/>
              </w:rPr>
              <w:t>Tumor type composition</w:t>
            </w:r>
          </w:p>
        </w:tc>
        <w:tc>
          <w:tcPr>
            <w:tcW w:w="4261" w:type="dxa"/>
            <w:shd w:val="clear" w:color="auto" w:fill="D9E2F3" w:themeFill="accent1" w:themeFillTint="33"/>
          </w:tcPr>
          <w:p w14:paraId="325207EA" w14:textId="77777777" w:rsidR="004A25E6" w:rsidRPr="00582309" w:rsidRDefault="004A25E6" w:rsidP="00792F4D">
            <w:pPr>
              <w:rPr>
                <w:sz w:val="24"/>
                <w:szCs w:val="24"/>
              </w:rPr>
            </w:pPr>
          </w:p>
        </w:tc>
      </w:tr>
      <w:tr w:rsidR="004A25E6" w:rsidRPr="00582309" w14:paraId="79A1706E" w14:textId="77777777" w:rsidTr="00792F4D">
        <w:tc>
          <w:tcPr>
            <w:tcW w:w="4261" w:type="dxa"/>
          </w:tcPr>
          <w:p w14:paraId="62DE17C3" w14:textId="77777777" w:rsidR="004A25E6" w:rsidRPr="00582309" w:rsidRDefault="004A25E6" w:rsidP="00792F4D">
            <w:pPr>
              <w:rPr>
                <w:sz w:val="24"/>
                <w:szCs w:val="24"/>
              </w:rPr>
            </w:pPr>
            <w:r w:rsidRPr="00582309">
              <w:rPr>
                <w:sz w:val="24"/>
                <w:szCs w:val="24"/>
              </w:rPr>
              <w:t>Endometrium</w:t>
            </w:r>
          </w:p>
        </w:tc>
        <w:tc>
          <w:tcPr>
            <w:tcW w:w="4261" w:type="dxa"/>
          </w:tcPr>
          <w:p w14:paraId="7D427578" w14:textId="77777777" w:rsidR="004A25E6" w:rsidRPr="00582309" w:rsidRDefault="004A25E6" w:rsidP="00792F4D">
            <w:pPr>
              <w:rPr>
                <w:sz w:val="24"/>
                <w:szCs w:val="24"/>
              </w:rPr>
            </w:pPr>
            <w:r w:rsidRPr="001C73E8">
              <w:rPr>
                <w:sz w:val="24"/>
                <w:szCs w:val="24"/>
              </w:rPr>
              <w:t>19/124 (15.3%)</w:t>
            </w:r>
          </w:p>
        </w:tc>
      </w:tr>
      <w:tr w:rsidR="004A25E6" w:rsidRPr="00582309" w14:paraId="2BCB3A00" w14:textId="77777777" w:rsidTr="00792F4D">
        <w:tc>
          <w:tcPr>
            <w:tcW w:w="4261" w:type="dxa"/>
          </w:tcPr>
          <w:p w14:paraId="4163251F" w14:textId="77777777" w:rsidR="004A25E6" w:rsidRPr="00582309" w:rsidRDefault="004A25E6" w:rsidP="00792F4D">
            <w:pPr>
              <w:rPr>
                <w:sz w:val="24"/>
                <w:szCs w:val="24"/>
              </w:rPr>
            </w:pPr>
            <w:r w:rsidRPr="00582309">
              <w:rPr>
                <w:sz w:val="24"/>
                <w:szCs w:val="24"/>
              </w:rPr>
              <w:t>Cervix</w:t>
            </w:r>
          </w:p>
        </w:tc>
        <w:tc>
          <w:tcPr>
            <w:tcW w:w="4261" w:type="dxa"/>
          </w:tcPr>
          <w:p w14:paraId="1393E52A" w14:textId="77777777" w:rsidR="004A25E6" w:rsidRPr="00582309" w:rsidRDefault="004A25E6" w:rsidP="00792F4D">
            <w:pPr>
              <w:rPr>
                <w:sz w:val="24"/>
                <w:szCs w:val="24"/>
              </w:rPr>
            </w:pPr>
            <w:r w:rsidRPr="001C73E8">
              <w:rPr>
                <w:sz w:val="24"/>
                <w:szCs w:val="24"/>
              </w:rPr>
              <w:t>15/124 (12.1%)</w:t>
            </w:r>
          </w:p>
        </w:tc>
      </w:tr>
      <w:tr w:rsidR="004A25E6" w:rsidRPr="00582309" w14:paraId="5A3AF60D" w14:textId="77777777" w:rsidTr="00792F4D">
        <w:tc>
          <w:tcPr>
            <w:tcW w:w="4261" w:type="dxa"/>
          </w:tcPr>
          <w:p w14:paraId="2E7CDF41" w14:textId="77777777" w:rsidR="004A25E6" w:rsidRPr="00582309" w:rsidRDefault="004A25E6" w:rsidP="00792F4D">
            <w:pPr>
              <w:rPr>
                <w:sz w:val="24"/>
                <w:szCs w:val="24"/>
              </w:rPr>
            </w:pPr>
            <w:r w:rsidRPr="00582309">
              <w:rPr>
                <w:sz w:val="24"/>
                <w:szCs w:val="24"/>
              </w:rPr>
              <w:t>Ovary</w:t>
            </w:r>
          </w:p>
        </w:tc>
        <w:tc>
          <w:tcPr>
            <w:tcW w:w="4261" w:type="dxa"/>
          </w:tcPr>
          <w:p w14:paraId="078D7E82" w14:textId="77777777" w:rsidR="004A25E6" w:rsidRPr="00582309" w:rsidRDefault="004A25E6" w:rsidP="00792F4D">
            <w:pPr>
              <w:rPr>
                <w:sz w:val="24"/>
                <w:szCs w:val="24"/>
              </w:rPr>
            </w:pPr>
            <w:r w:rsidRPr="001C73E8">
              <w:rPr>
                <w:sz w:val="24"/>
                <w:szCs w:val="24"/>
              </w:rPr>
              <w:t>15/124 (12.1%)</w:t>
            </w:r>
          </w:p>
        </w:tc>
      </w:tr>
      <w:tr w:rsidR="004A25E6" w:rsidRPr="00582309" w14:paraId="043A46C5" w14:textId="77777777" w:rsidTr="00792F4D">
        <w:tc>
          <w:tcPr>
            <w:tcW w:w="4261" w:type="dxa"/>
          </w:tcPr>
          <w:p w14:paraId="22FE2CBD" w14:textId="77777777" w:rsidR="004A25E6" w:rsidRPr="00582309" w:rsidRDefault="004A25E6" w:rsidP="00792F4D">
            <w:pPr>
              <w:rPr>
                <w:sz w:val="24"/>
                <w:szCs w:val="24"/>
              </w:rPr>
            </w:pPr>
            <w:r w:rsidRPr="00582309">
              <w:rPr>
                <w:sz w:val="24"/>
                <w:szCs w:val="24"/>
              </w:rPr>
              <w:t>Prostate</w:t>
            </w:r>
          </w:p>
        </w:tc>
        <w:tc>
          <w:tcPr>
            <w:tcW w:w="4261" w:type="dxa"/>
          </w:tcPr>
          <w:p w14:paraId="0C07043D" w14:textId="77777777" w:rsidR="004A25E6" w:rsidRPr="00582309" w:rsidRDefault="004A25E6" w:rsidP="00792F4D">
            <w:pPr>
              <w:rPr>
                <w:sz w:val="24"/>
                <w:szCs w:val="24"/>
              </w:rPr>
            </w:pPr>
            <w:r w:rsidRPr="001C73E8">
              <w:rPr>
                <w:sz w:val="24"/>
                <w:szCs w:val="24"/>
              </w:rPr>
              <w:t>13/124 (10.5%)</w:t>
            </w:r>
          </w:p>
        </w:tc>
      </w:tr>
      <w:tr w:rsidR="004A25E6" w:rsidRPr="00582309" w14:paraId="1B60B09B" w14:textId="77777777" w:rsidTr="00792F4D">
        <w:tc>
          <w:tcPr>
            <w:tcW w:w="4261" w:type="dxa"/>
          </w:tcPr>
          <w:p w14:paraId="4AB9A64B" w14:textId="77777777" w:rsidR="004A25E6" w:rsidRPr="00582309" w:rsidRDefault="004A25E6" w:rsidP="00792F4D">
            <w:pPr>
              <w:rPr>
                <w:sz w:val="24"/>
                <w:szCs w:val="24"/>
              </w:rPr>
            </w:pPr>
            <w:r w:rsidRPr="00582309">
              <w:rPr>
                <w:sz w:val="24"/>
                <w:szCs w:val="24"/>
              </w:rPr>
              <w:t>Esophagus</w:t>
            </w:r>
          </w:p>
        </w:tc>
        <w:tc>
          <w:tcPr>
            <w:tcW w:w="4261" w:type="dxa"/>
          </w:tcPr>
          <w:p w14:paraId="4F2D63F6" w14:textId="77777777" w:rsidR="004A25E6" w:rsidRPr="00582309" w:rsidRDefault="004A25E6" w:rsidP="00792F4D">
            <w:pPr>
              <w:rPr>
                <w:sz w:val="24"/>
                <w:szCs w:val="24"/>
              </w:rPr>
            </w:pPr>
            <w:r w:rsidRPr="001C73E8">
              <w:rPr>
                <w:sz w:val="24"/>
                <w:szCs w:val="24"/>
              </w:rPr>
              <w:t>13/124 (10.5%)</w:t>
            </w:r>
          </w:p>
        </w:tc>
      </w:tr>
      <w:tr w:rsidR="004A25E6" w:rsidRPr="00582309" w14:paraId="6263111F" w14:textId="77777777" w:rsidTr="00792F4D">
        <w:tc>
          <w:tcPr>
            <w:tcW w:w="4261" w:type="dxa"/>
          </w:tcPr>
          <w:p w14:paraId="6763F4C9" w14:textId="77777777" w:rsidR="004A25E6" w:rsidRPr="00582309" w:rsidRDefault="004A25E6" w:rsidP="00792F4D">
            <w:pPr>
              <w:rPr>
                <w:sz w:val="24"/>
                <w:szCs w:val="24"/>
              </w:rPr>
            </w:pPr>
            <w:r w:rsidRPr="00582309">
              <w:rPr>
                <w:sz w:val="24"/>
                <w:szCs w:val="24"/>
              </w:rPr>
              <w:t>Lung</w:t>
            </w:r>
          </w:p>
        </w:tc>
        <w:tc>
          <w:tcPr>
            <w:tcW w:w="4261" w:type="dxa"/>
          </w:tcPr>
          <w:p w14:paraId="00B2B1FE" w14:textId="77777777" w:rsidR="004A25E6" w:rsidRPr="00582309" w:rsidRDefault="004A25E6" w:rsidP="00792F4D">
            <w:pPr>
              <w:rPr>
                <w:sz w:val="24"/>
                <w:szCs w:val="24"/>
              </w:rPr>
            </w:pPr>
            <w:r w:rsidRPr="001C73E8">
              <w:rPr>
                <w:sz w:val="24"/>
                <w:szCs w:val="24"/>
              </w:rPr>
              <w:t>13/124 (10.5%)</w:t>
            </w:r>
          </w:p>
        </w:tc>
      </w:tr>
      <w:tr w:rsidR="004A25E6" w:rsidRPr="00582309" w14:paraId="07A7EC95" w14:textId="77777777" w:rsidTr="00792F4D">
        <w:tc>
          <w:tcPr>
            <w:tcW w:w="4261" w:type="dxa"/>
          </w:tcPr>
          <w:p w14:paraId="0D94C6C8" w14:textId="77777777" w:rsidR="004A25E6" w:rsidRPr="00582309" w:rsidRDefault="004A25E6" w:rsidP="00792F4D">
            <w:pPr>
              <w:rPr>
                <w:sz w:val="24"/>
                <w:szCs w:val="24"/>
              </w:rPr>
            </w:pPr>
            <w:r w:rsidRPr="00582309">
              <w:rPr>
                <w:sz w:val="24"/>
                <w:szCs w:val="24"/>
              </w:rPr>
              <w:t>Stomach</w:t>
            </w:r>
          </w:p>
        </w:tc>
        <w:tc>
          <w:tcPr>
            <w:tcW w:w="4261" w:type="dxa"/>
          </w:tcPr>
          <w:p w14:paraId="1F9A908B" w14:textId="77777777" w:rsidR="004A25E6" w:rsidRPr="00582309" w:rsidRDefault="004A25E6" w:rsidP="00792F4D">
            <w:pPr>
              <w:rPr>
                <w:sz w:val="24"/>
                <w:szCs w:val="24"/>
              </w:rPr>
            </w:pPr>
            <w:r w:rsidRPr="001C73E8">
              <w:rPr>
                <w:sz w:val="24"/>
                <w:szCs w:val="24"/>
              </w:rPr>
              <w:t>11/124 (8.9%)</w:t>
            </w:r>
          </w:p>
        </w:tc>
      </w:tr>
      <w:tr w:rsidR="004A25E6" w:rsidRPr="00582309" w14:paraId="56642339" w14:textId="77777777" w:rsidTr="00792F4D">
        <w:tc>
          <w:tcPr>
            <w:tcW w:w="4261" w:type="dxa"/>
          </w:tcPr>
          <w:p w14:paraId="502BB990" w14:textId="77777777" w:rsidR="004A25E6" w:rsidRPr="00582309" w:rsidRDefault="004A25E6" w:rsidP="00792F4D">
            <w:pPr>
              <w:rPr>
                <w:sz w:val="24"/>
                <w:szCs w:val="24"/>
              </w:rPr>
            </w:pPr>
            <w:r w:rsidRPr="00582309">
              <w:rPr>
                <w:sz w:val="24"/>
                <w:szCs w:val="24"/>
              </w:rPr>
              <w:t>Bladder</w:t>
            </w:r>
          </w:p>
        </w:tc>
        <w:tc>
          <w:tcPr>
            <w:tcW w:w="4261" w:type="dxa"/>
          </w:tcPr>
          <w:p w14:paraId="387AB450" w14:textId="77777777" w:rsidR="004A25E6" w:rsidRPr="00582309" w:rsidRDefault="004A25E6" w:rsidP="00792F4D">
            <w:pPr>
              <w:rPr>
                <w:sz w:val="24"/>
                <w:szCs w:val="24"/>
              </w:rPr>
            </w:pPr>
            <w:r w:rsidRPr="001C73E8">
              <w:rPr>
                <w:sz w:val="24"/>
                <w:szCs w:val="24"/>
              </w:rPr>
              <w:t>10/124 (8.1%)</w:t>
            </w:r>
          </w:p>
        </w:tc>
      </w:tr>
      <w:tr w:rsidR="004A25E6" w:rsidRPr="00582309" w14:paraId="2258DA0A" w14:textId="77777777" w:rsidTr="00792F4D">
        <w:tc>
          <w:tcPr>
            <w:tcW w:w="4261" w:type="dxa"/>
          </w:tcPr>
          <w:p w14:paraId="5AA82A75" w14:textId="77777777" w:rsidR="004A25E6" w:rsidRPr="00582309" w:rsidRDefault="004A25E6" w:rsidP="00792F4D">
            <w:pPr>
              <w:rPr>
                <w:sz w:val="24"/>
                <w:szCs w:val="24"/>
              </w:rPr>
            </w:pPr>
            <w:r w:rsidRPr="00582309">
              <w:rPr>
                <w:sz w:val="24"/>
                <w:szCs w:val="24"/>
              </w:rPr>
              <w:t>Liver</w:t>
            </w:r>
          </w:p>
        </w:tc>
        <w:tc>
          <w:tcPr>
            <w:tcW w:w="4261" w:type="dxa"/>
          </w:tcPr>
          <w:p w14:paraId="0071A1CD" w14:textId="77777777" w:rsidR="004A25E6" w:rsidRPr="00582309" w:rsidRDefault="004A25E6" w:rsidP="00792F4D">
            <w:pPr>
              <w:rPr>
                <w:sz w:val="24"/>
                <w:szCs w:val="24"/>
              </w:rPr>
            </w:pPr>
            <w:r w:rsidRPr="001C73E8">
              <w:rPr>
                <w:sz w:val="24"/>
                <w:szCs w:val="24"/>
              </w:rPr>
              <w:t>9/124 (7.3%)</w:t>
            </w:r>
          </w:p>
        </w:tc>
      </w:tr>
      <w:tr w:rsidR="004A25E6" w:rsidRPr="00582309" w14:paraId="4D97842E" w14:textId="77777777" w:rsidTr="00792F4D">
        <w:tc>
          <w:tcPr>
            <w:tcW w:w="4261" w:type="dxa"/>
          </w:tcPr>
          <w:p w14:paraId="45B17DB0" w14:textId="77777777" w:rsidR="004A25E6" w:rsidRPr="00582309" w:rsidRDefault="004A25E6" w:rsidP="00792F4D">
            <w:pPr>
              <w:rPr>
                <w:sz w:val="24"/>
                <w:szCs w:val="24"/>
              </w:rPr>
            </w:pPr>
            <w:r w:rsidRPr="00582309">
              <w:rPr>
                <w:sz w:val="24"/>
                <w:szCs w:val="24"/>
              </w:rPr>
              <w:t>Breast</w:t>
            </w:r>
          </w:p>
        </w:tc>
        <w:tc>
          <w:tcPr>
            <w:tcW w:w="4261" w:type="dxa"/>
          </w:tcPr>
          <w:p w14:paraId="452F95ED" w14:textId="77777777" w:rsidR="004A25E6" w:rsidRPr="00582309" w:rsidRDefault="004A25E6" w:rsidP="00792F4D">
            <w:pPr>
              <w:rPr>
                <w:sz w:val="24"/>
                <w:szCs w:val="24"/>
              </w:rPr>
            </w:pPr>
            <w:r w:rsidRPr="001C73E8">
              <w:rPr>
                <w:sz w:val="24"/>
                <w:szCs w:val="24"/>
              </w:rPr>
              <w:t>6/124 (4.8%)</w:t>
            </w:r>
          </w:p>
        </w:tc>
      </w:tr>
      <w:tr w:rsidR="004A25E6" w:rsidRPr="00582309" w14:paraId="7BFC247A" w14:textId="77777777" w:rsidTr="00792F4D">
        <w:tc>
          <w:tcPr>
            <w:tcW w:w="4261" w:type="dxa"/>
          </w:tcPr>
          <w:p w14:paraId="48B6C5CE" w14:textId="77777777" w:rsidR="004A25E6" w:rsidRPr="00582309" w:rsidRDefault="004A25E6" w:rsidP="00792F4D">
            <w:pPr>
              <w:rPr>
                <w:sz w:val="24"/>
                <w:szCs w:val="24"/>
              </w:rPr>
            </w:pPr>
            <w:r w:rsidRPr="00582309">
              <w:rPr>
                <w:sz w:val="24"/>
                <w:szCs w:val="24"/>
              </w:rPr>
              <w:t>Multi-TMA barrier group distribution</w:t>
            </w:r>
          </w:p>
        </w:tc>
        <w:tc>
          <w:tcPr>
            <w:tcW w:w="4261" w:type="dxa"/>
          </w:tcPr>
          <w:p w14:paraId="26CF5BA9" w14:textId="77777777" w:rsidR="004A25E6" w:rsidRPr="00582309" w:rsidRDefault="004A25E6" w:rsidP="00792F4D">
            <w:pPr>
              <w:rPr>
                <w:sz w:val="24"/>
                <w:szCs w:val="24"/>
              </w:rPr>
            </w:pPr>
            <w:r w:rsidRPr="001C73E8">
              <w:rPr>
                <w:sz w:val="24"/>
                <w:szCs w:val="24"/>
              </w:rPr>
              <w:t>low: 39/118 (33.1%); intermediate: 39/118 (33.1%); high: 40/118 (33.9%)</w:t>
            </w:r>
          </w:p>
        </w:tc>
      </w:tr>
      <w:tr w:rsidR="004A25E6" w:rsidRPr="00582309" w14:paraId="3120D85E" w14:textId="77777777" w:rsidTr="00792F4D">
        <w:tc>
          <w:tcPr>
            <w:tcW w:w="4261" w:type="dxa"/>
          </w:tcPr>
          <w:p w14:paraId="13106478" w14:textId="77777777" w:rsidR="004A25E6" w:rsidRPr="00582309" w:rsidRDefault="004A25E6" w:rsidP="00792F4D">
            <w:pPr>
              <w:rPr>
                <w:sz w:val="24"/>
                <w:szCs w:val="24"/>
              </w:rPr>
            </w:pPr>
            <w:r w:rsidRPr="00582309">
              <w:rPr>
                <w:sz w:val="24"/>
                <w:szCs w:val="24"/>
              </w:rPr>
              <w:lastRenderedPageBreak/>
              <w:t>Cells per core, median (IQR)</w:t>
            </w:r>
          </w:p>
        </w:tc>
        <w:tc>
          <w:tcPr>
            <w:tcW w:w="4261" w:type="dxa"/>
          </w:tcPr>
          <w:p w14:paraId="76EB04B7" w14:textId="77777777" w:rsidR="004A25E6" w:rsidRPr="00582309" w:rsidRDefault="004A25E6" w:rsidP="00792F4D">
            <w:pPr>
              <w:rPr>
                <w:sz w:val="24"/>
                <w:szCs w:val="24"/>
              </w:rPr>
            </w:pPr>
            <w:r w:rsidRPr="001C73E8">
              <w:rPr>
                <w:sz w:val="24"/>
                <w:szCs w:val="24"/>
              </w:rPr>
              <w:t>11538 (8866-17845)</w:t>
            </w:r>
          </w:p>
        </w:tc>
      </w:tr>
      <w:tr w:rsidR="004A25E6" w:rsidRPr="00582309" w14:paraId="71809082" w14:textId="77777777" w:rsidTr="00792F4D">
        <w:tc>
          <w:tcPr>
            <w:tcW w:w="4261" w:type="dxa"/>
          </w:tcPr>
          <w:p w14:paraId="5419599A" w14:textId="77777777" w:rsidR="004A25E6" w:rsidRPr="00582309" w:rsidRDefault="004A25E6" w:rsidP="00792F4D">
            <w:pPr>
              <w:rPr>
                <w:sz w:val="24"/>
                <w:szCs w:val="24"/>
              </w:rPr>
            </w:pPr>
            <w:r w:rsidRPr="00582309">
              <w:rPr>
                <w:sz w:val="24"/>
                <w:szCs w:val="24"/>
              </w:rPr>
              <w:t>Multi-cancer barrier-like score, median (IQR)</w:t>
            </w:r>
          </w:p>
        </w:tc>
        <w:tc>
          <w:tcPr>
            <w:tcW w:w="4261" w:type="dxa"/>
          </w:tcPr>
          <w:p w14:paraId="6B8F3F69" w14:textId="77777777" w:rsidR="004A25E6" w:rsidRPr="00582309" w:rsidRDefault="004A25E6" w:rsidP="00792F4D">
            <w:pPr>
              <w:rPr>
                <w:sz w:val="24"/>
                <w:szCs w:val="24"/>
              </w:rPr>
            </w:pPr>
            <w:r w:rsidRPr="001C73E8">
              <w:rPr>
                <w:sz w:val="24"/>
                <w:szCs w:val="24"/>
              </w:rPr>
              <w:t>0.43 (-1.67-2.08)</w:t>
            </w:r>
          </w:p>
        </w:tc>
      </w:tr>
    </w:tbl>
    <w:p w14:paraId="0B31E2EF" w14:textId="11071332" w:rsidR="00C23588" w:rsidRPr="004A25E6" w:rsidRDefault="00C23588" w:rsidP="00CD5820">
      <w:pPr>
        <w:snapToGrid w:val="0"/>
        <w:rPr>
          <w:rFonts w:ascii="Times New Roman" w:hAnsi="Times New Roman" w:cs="Times New Roman"/>
          <w:b/>
          <w:bCs/>
          <w:color w:val="000000" w:themeColor="text1"/>
          <w:sz w:val="28"/>
          <w:szCs w:val="32"/>
        </w:rPr>
      </w:pPr>
    </w:p>
    <w:p w14:paraId="695AD867" w14:textId="5D2CE393" w:rsidR="00C23588" w:rsidRDefault="00C23588" w:rsidP="00CD5820">
      <w:pPr>
        <w:snapToGrid w:val="0"/>
        <w:rPr>
          <w:rFonts w:ascii="Times New Roman" w:hAnsi="Times New Roman" w:cs="Times New Roman"/>
          <w:b/>
          <w:bCs/>
          <w:color w:val="000000" w:themeColor="text1"/>
          <w:sz w:val="28"/>
          <w:szCs w:val="32"/>
        </w:rPr>
      </w:pPr>
    </w:p>
    <w:p w14:paraId="1E23576B" w14:textId="4CDD759E" w:rsidR="00C23588" w:rsidRDefault="00C23588" w:rsidP="00CD5820">
      <w:pPr>
        <w:snapToGrid w:val="0"/>
        <w:rPr>
          <w:rFonts w:ascii="Times New Roman" w:hAnsi="Times New Roman" w:cs="Times New Roman"/>
          <w:b/>
          <w:bCs/>
          <w:color w:val="000000" w:themeColor="text1"/>
          <w:sz w:val="28"/>
          <w:szCs w:val="32"/>
        </w:rPr>
      </w:pPr>
    </w:p>
    <w:p w14:paraId="66F60EC1" w14:textId="77777777" w:rsidR="00C23588" w:rsidRDefault="00C23588" w:rsidP="00CD5820">
      <w:pPr>
        <w:snapToGrid w:val="0"/>
        <w:rPr>
          <w:rFonts w:ascii="Times New Roman" w:hAnsi="Times New Roman" w:cs="Times New Roman"/>
          <w:b/>
          <w:bCs/>
          <w:color w:val="000000" w:themeColor="text1"/>
          <w:sz w:val="28"/>
          <w:szCs w:val="32"/>
        </w:rPr>
      </w:pPr>
    </w:p>
    <w:p w14:paraId="5C014663" w14:textId="77777777" w:rsidR="00C23588" w:rsidRDefault="00C23588">
      <w:pPr>
        <w:widowControl/>
        <w:jc w:val="left"/>
        <w:rPr>
          <w:rFonts w:ascii="Times New Roman" w:hAnsi="Times New Roman" w:cs="Times New Roman"/>
          <w:b/>
          <w:bCs/>
          <w:color w:val="000000" w:themeColor="text1"/>
          <w:sz w:val="28"/>
          <w:szCs w:val="32"/>
        </w:rPr>
      </w:pPr>
      <w:r>
        <w:rPr>
          <w:rFonts w:ascii="Times New Roman" w:hAnsi="Times New Roman" w:cs="Times New Roman"/>
          <w:b/>
          <w:bCs/>
          <w:color w:val="000000" w:themeColor="text1"/>
          <w:sz w:val="28"/>
          <w:szCs w:val="32"/>
        </w:rPr>
        <w:br w:type="page"/>
      </w:r>
    </w:p>
    <w:sectPr w:rsidR="00C2358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8D57C7" w14:textId="77777777" w:rsidR="00024CE8" w:rsidRDefault="00024CE8" w:rsidP="003F17FF">
      <w:r>
        <w:separator/>
      </w:r>
    </w:p>
  </w:endnote>
  <w:endnote w:type="continuationSeparator" w:id="0">
    <w:p w14:paraId="3DD6517A" w14:textId="77777777" w:rsidR="00024CE8" w:rsidRDefault="00024CE8" w:rsidP="003F1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imes New Roman (标题 CS)">
    <w:altName w:val="宋体"/>
    <w:charset w:val="86"/>
    <w:family w:val="roman"/>
    <w:pitch w:val="default"/>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F3D51F" w14:textId="77777777" w:rsidR="00024CE8" w:rsidRDefault="00024CE8" w:rsidP="003F17FF">
      <w:r>
        <w:separator/>
      </w:r>
    </w:p>
  </w:footnote>
  <w:footnote w:type="continuationSeparator" w:id="0">
    <w:p w14:paraId="2F3062B4" w14:textId="77777777" w:rsidR="00024CE8" w:rsidRDefault="00024CE8" w:rsidP="003F17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820"/>
    <w:rsid w:val="00024CE8"/>
    <w:rsid w:val="000D1A33"/>
    <w:rsid w:val="000F031C"/>
    <w:rsid w:val="003F17FF"/>
    <w:rsid w:val="00431E23"/>
    <w:rsid w:val="004458AA"/>
    <w:rsid w:val="004A25E6"/>
    <w:rsid w:val="00904B8F"/>
    <w:rsid w:val="00A76F17"/>
    <w:rsid w:val="00AA7E22"/>
    <w:rsid w:val="00B84AB2"/>
    <w:rsid w:val="00C23588"/>
    <w:rsid w:val="00CD5820"/>
    <w:rsid w:val="00EC6E16"/>
    <w:rsid w:val="00F004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8FB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3588"/>
    <w:pPr>
      <w:widowControl w:val="0"/>
      <w:jc w:val="both"/>
    </w:pPr>
  </w:style>
  <w:style w:type="paragraph" w:styleId="1">
    <w:name w:val="heading 1"/>
    <w:basedOn w:val="a"/>
    <w:next w:val="a"/>
    <w:link w:val="1Char"/>
    <w:uiPriority w:val="9"/>
    <w:qFormat/>
    <w:rsid w:val="00C23588"/>
    <w:pPr>
      <w:keepNext/>
      <w:keepLines/>
      <w:spacing w:before="480" w:after="80"/>
      <w:outlineLvl w:val="0"/>
    </w:pPr>
    <w:rPr>
      <w:rFonts w:ascii="Times New Roman" w:eastAsia="Times New Roman" w:hAnsi="Times New Roman" w:cs="Times New Roman (标题 CS)"/>
      <w:b/>
      <w:color w:val="000000" w:themeColor="text1"/>
      <w:sz w:val="2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4AB2"/>
    <w:pPr>
      <w:ind w:firstLineChars="200" w:firstLine="420"/>
    </w:pPr>
  </w:style>
  <w:style w:type="character" w:customStyle="1" w:styleId="1Char">
    <w:name w:val="标题 1 Char"/>
    <w:basedOn w:val="a0"/>
    <w:link w:val="1"/>
    <w:uiPriority w:val="9"/>
    <w:rsid w:val="00C23588"/>
    <w:rPr>
      <w:rFonts w:ascii="Times New Roman" w:eastAsia="Times New Roman" w:hAnsi="Times New Roman" w:cs="Times New Roman (标题 CS)"/>
      <w:b/>
      <w:color w:val="000000" w:themeColor="text1"/>
      <w:sz w:val="28"/>
      <w:szCs w:val="48"/>
    </w:rPr>
  </w:style>
  <w:style w:type="table" w:styleId="a4">
    <w:name w:val="Table Grid"/>
    <w:basedOn w:val="a1"/>
    <w:uiPriority w:val="39"/>
    <w:rsid w:val="004A25E6"/>
    <w:rPr>
      <w:rFonts w:ascii="Times New Roman" w:hAnsi="Times New Roman" w:cs="Times New Roman"/>
      <w:szCs w:val="21"/>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
    <w:uiPriority w:val="99"/>
    <w:unhideWhenUsed/>
    <w:rsid w:val="003F17F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3F17FF"/>
    <w:rPr>
      <w:sz w:val="18"/>
      <w:szCs w:val="18"/>
    </w:rPr>
  </w:style>
  <w:style w:type="paragraph" w:styleId="a6">
    <w:name w:val="footer"/>
    <w:basedOn w:val="a"/>
    <w:link w:val="Char0"/>
    <w:uiPriority w:val="99"/>
    <w:unhideWhenUsed/>
    <w:rsid w:val="003F17FF"/>
    <w:pPr>
      <w:tabs>
        <w:tab w:val="center" w:pos="4153"/>
        <w:tab w:val="right" w:pos="8306"/>
      </w:tabs>
      <w:snapToGrid w:val="0"/>
      <w:jc w:val="left"/>
    </w:pPr>
    <w:rPr>
      <w:sz w:val="18"/>
      <w:szCs w:val="18"/>
    </w:rPr>
  </w:style>
  <w:style w:type="character" w:customStyle="1" w:styleId="Char0">
    <w:name w:val="页脚 Char"/>
    <w:basedOn w:val="a0"/>
    <w:link w:val="a6"/>
    <w:uiPriority w:val="99"/>
    <w:rsid w:val="003F17FF"/>
    <w:rPr>
      <w:sz w:val="18"/>
      <w:szCs w:val="18"/>
    </w:rPr>
  </w:style>
  <w:style w:type="paragraph" w:styleId="a7">
    <w:name w:val="Balloon Text"/>
    <w:basedOn w:val="a"/>
    <w:link w:val="Char1"/>
    <w:uiPriority w:val="99"/>
    <w:semiHidden/>
    <w:unhideWhenUsed/>
    <w:rsid w:val="003F17FF"/>
    <w:rPr>
      <w:sz w:val="18"/>
      <w:szCs w:val="18"/>
    </w:rPr>
  </w:style>
  <w:style w:type="character" w:customStyle="1" w:styleId="Char1">
    <w:name w:val="批注框文本 Char"/>
    <w:basedOn w:val="a0"/>
    <w:link w:val="a7"/>
    <w:uiPriority w:val="99"/>
    <w:semiHidden/>
    <w:rsid w:val="003F17F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3588"/>
    <w:pPr>
      <w:widowControl w:val="0"/>
      <w:jc w:val="both"/>
    </w:pPr>
  </w:style>
  <w:style w:type="paragraph" w:styleId="1">
    <w:name w:val="heading 1"/>
    <w:basedOn w:val="a"/>
    <w:next w:val="a"/>
    <w:link w:val="1Char"/>
    <w:uiPriority w:val="9"/>
    <w:qFormat/>
    <w:rsid w:val="00C23588"/>
    <w:pPr>
      <w:keepNext/>
      <w:keepLines/>
      <w:spacing w:before="480" w:after="80"/>
      <w:outlineLvl w:val="0"/>
    </w:pPr>
    <w:rPr>
      <w:rFonts w:ascii="Times New Roman" w:eastAsia="Times New Roman" w:hAnsi="Times New Roman" w:cs="Times New Roman (标题 CS)"/>
      <w:b/>
      <w:color w:val="000000" w:themeColor="text1"/>
      <w:sz w:val="2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4AB2"/>
    <w:pPr>
      <w:ind w:firstLineChars="200" w:firstLine="420"/>
    </w:pPr>
  </w:style>
  <w:style w:type="character" w:customStyle="1" w:styleId="1Char">
    <w:name w:val="标题 1 Char"/>
    <w:basedOn w:val="a0"/>
    <w:link w:val="1"/>
    <w:uiPriority w:val="9"/>
    <w:rsid w:val="00C23588"/>
    <w:rPr>
      <w:rFonts w:ascii="Times New Roman" w:eastAsia="Times New Roman" w:hAnsi="Times New Roman" w:cs="Times New Roman (标题 CS)"/>
      <w:b/>
      <w:color w:val="000000" w:themeColor="text1"/>
      <w:sz w:val="28"/>
      <w:szCs w:val="48"/>
    </w:rPr>
  </w:style>
  <w:style w:type="table" w:styleId="a4">
    <w:name w:val="Table Grid"/>
    <w:basedOn w:val="a1"/>
    <w:uiPriority w:val="39"/>
    <w:rsid w:val="004A25E6"/>
    <w:rPr>
      <w:rFonts w:ascii="Times New Roman" w:hAnsi="Times New Roman" w:cs="Times New Roman"/>
      <w:szCs w:val="21"/>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
    <w:uiPriority w:val="99"/>
    <w:unhideWhenUsed/>
    <w:rsid w:val="003F17F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3F17FF"/>
    <w:rPr>
      <w:sz w:val="18"/>
      <w:szCs w:val="18"/>
    </w:rPr>
  </w:style>
  <w:style w:type="paragraph" w:styleId="a6">
    <w:name w:val="footer"/>
    <w:basedOn w:val="a"/>
    <w:link w:val="Char0"/>
    <w:uiPriority w:val="99"/>
    <w:unhideWhenUsed/>
    <w:rsid w:val="003F17FF"/>
    <w:pPr>
      <w:tabs>
        <w:tab w:val="center" w:pos="4153"/>
        <w:tab w:val="right" w:pos="8306"/>
      </w:tabs>
      <w:snapToGrid w:val="0"/>
      <w:jc w:val="left"/>
    </w:pPr>
    <w:rPr>
      <w:sz w:val="18"/>
      <w:szCs w:val="18"/>
    </w:rPr>
  </w:style>
  <w:style w:type="character" w:customStyle="1" w:styleId="Char0">
    <w:name w:val="页脚 Char"/>
    <w:basedOn w:val="a0"/>
    <w:link w:val="a6"/>
    <w:uiPriority w:val="99"/>
    <w:rsid w:val="003F17FF"/>
    <w:rPr>
      <w:sz w:val="18"/>
      <w:szCs w:val="18"/>
    </w:rPr>
  </w:style>
  <w:style w:type="paragraph" w:styleId="a7">
    <w:name w:val="Balloon Text"/>
    <w:basedOn w:val="a"/>
    <w:link w:val="Char1"/>
    <w:uiPriority w:val="99"/>
    <w:semiHidden/>
    <w:unhideWhenUsed/>
    <w:rsid w:val="003F17FF"/>
    <w:rPr>
      <w:sz w:val="18"/>
      <w:szCs w:val="18"/>
    </w:rPr>
  </w:style>
  <w:style w:type="character" w:customStyle="1" w:styleId="Char1">
    <w:name w:val="批注框文本 Char"/>
    <w:basedOn w:val="a0"/>
    <w:link w:val="a7"/>
    <w:uiPriority w:val="99"/>
    <w:semiHidden/>
    <w:rsid w:val="003F17F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8923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13</Pages>
  <Words>2095</Words>
  <Characters>11948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Yang Cheng</dc:creator>
  <cp:keywords/>
  <dc:description/>
  <cp:lastModifiedBy>微软用户</cp:lastModifiedBy>
  <cp:revision>8</cp:revision>
  <dcterms:created xsi:type="dcterms:W3CDTF">2026-04-26T08:36:00Z</dcterms:created>
  <dcterms:modified xsi:type="dcterms:W3CDTF">2026-05-05T08:11:00Z</dcterms:modified>
</cp:coreProperties>
</file>