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6A8F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7D3385">
        <w:rPr>
          <w:rFonts w:ascii="Times New Roman" w:hAnsi="Times New Roman" w:cs="Times New Roman"/>
          <w:b/>
          <w:bCs/>
          <w:sz w:val="24"/>
        </w:rPr>
        <w:t>Appendix</w:t>
      </w:r>
    </w:p>
    <w:p w14:paraId="3822E3B7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</w:p>
    <w:p w14:paraId="2D86AF62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7D3385">
        <w:rPr>
          <w:rFonts w:ascii="Times New Roman" w:hAnsi="Times New Roman" w:cs="Times New Roman"/>
          <w:b/>
          <w:bCs/>
          <w:sz w:val="24"/>
        </w:rPr>
        <w:t>Appendix 1. Univariate logistic regression results</w:t>
      </w:r>
    </w:p>
    <w:p w14:paraId="23031C85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b/>
          <w:bCs/>
          <w:sz w:val="20"/>
          <w:szCs w:val="20"/>
        </w:rPr>
        <w:t>Table A1. Results of univariate logistic regression</w:t>
      </w:r>
    </w:p>
    <w:tbl>
      <w:tblPr>
        <w:tblW w:w="9497" w:type="dxa"/>
        <w:jc w:val="center"/>
        <w:tblLayout w:type="fixed"/>
        <w:tblLook w:val="0420" w:firstRow="1" w:lastRow="0" w:firstColumn="0" w:lastColumn="0" w:noHBand="0" w:noVBand="1"/>
      </w:tblPr>
      <w:tblGrid>
        <w:gridCol w:w="4203"/>
        <w:gridCol w:w="711"/>
        <w:gridCol w:w="1230"/>
        <w:gridCol w:w="861"/>
        <w:gridCol w:w="1311"/>
        <w:gridCol w:w="1181"/>
      </w:tblGrid>
      <w:tr w:rsidR="00D64B9B" w:rsidRPr="007D3385" w14:paraId="4ED45ECD" w14:textId="77777777" w:rsidTr="00BD5283">
        <w:trPr>
          <w:tblHeader/>
          <w:jc w:val="center"/>
        </w:trPr>
        <w:tc>
          <w:tcPr>
            <w:tcW w:w="42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CC9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71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B87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620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Event N</w:t>
            </w:r>
          </w:p>
        </w:tc>
        <w:tc>
          <w:tcPr>
            <w:tcW w:w="86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0D56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1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7686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C95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D64B9B" w:rsidRPr="007D3385" w14:paraId="3D3364CC" w14:textId="77777777" w:rsidTr="00BD5283">
        <w:trPr>
          <w:jc w:val="center"/>
        </w:trPr>
        <w:tc>
          <w:tcPr>
            <w:tcW w:w="42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5BCA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History of abdominal surgery</w:t>
            </w:r>
          </w:p>
        </w:tc>
        <w:tc>
          <w:tcPr>
            <w:tcW w:w="71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5F3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9515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80E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C39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33F6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2D80F9E4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EC9E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EDC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1AD3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E5E3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0170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12FB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54405D58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7B5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A3F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6CB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8186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CF26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1.27, 3.67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CEC4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D64B9B" w:rsidRPr="007D3385" w14:paraId="1A21BBEE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C9D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Peritonitis signs developing during conservative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306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418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7795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BE6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C5D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538546E5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34A9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248D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52B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B860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9A3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551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79D00121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9C7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8D3A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BA32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E21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13.62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7293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5.54, 33.48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4871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7E8745EA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8458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0D4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4B3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792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C68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1.06, 1.12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D392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1B510FB6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228A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24-hour NLR increase after admission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E783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B9B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71F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A0B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1.80, 2.86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9A5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0CED45D7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7D6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fecal sign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B7E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EAFB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47F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917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A8C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2CE9E321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D0C6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1368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25C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AD4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FA3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5C5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6D483F31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3B3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5DE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0587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F351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5A2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3.22, 9.30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DAD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5BA047AB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2EA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Mesenteric vascular sign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1C8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1D7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84CF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B20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E01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20B12B76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A5FA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B4F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911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4CA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F4C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1E95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4A2B1AF8" w14:textId="77777777" w:rsidTr="00BD5283">
        <w:trPr>
          <w:jc w:val="center"/>
        </w:trPr>
        <w:tc>
          <w:tcPr>
            <w:tcW w:w="42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0F9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B861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2A3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688D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9.10</w:t>
            </w:r>
          </w:p>
        </w:tc>
        <w:tc>
          <w:tcPr>
            <w:tcW w:w="131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A7C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4.19, 19.77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3B7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72B6696B" w14:textId="77777777" w:rsidR="00D64B9B" w:rsidRDefault="00D64B9B" w:rsidP="00D64B9B">
      <w:pPr>
        <w:spacing w:after="0" w:line="480" w:lineRule="auto"/>
        <w:rPr>
          <w:rFonts w:ascii="Times New Roman" w:hAnsi="Times New Roman" w:cs="Times New Roman"/>
          <w:sz w:val="24"/>
        </w:rPr>
        <w:sectPr w:rsidR="00D64B9B" w:rsidSect="00D64B9B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7D3385">
        <w:rPr>
          <w:rFonts w:ascii="Times New Roman" w:hAnsi="Times New Roman" w:cs="Times New Roman"/>
          <w:sz w:val="24"/>
        </w:rPr>
        <w:br w:type="page"/>
      </w:r>
    </w:p>
    <w:p w14:paraId="5AF71918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548A84DC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7D3385">
        <w:rPr>
          <w:rFonts w:ascii="Times New Roman" w:hAnsi="Times New Roman" w:cs="Times New Roman"/>
          <w:b/>
          <w:bCs/>
          <w:sz w:val="24"/>
        </w:rPr>
        <w:t>Appendix 2. Multivariate logistic regression results with coefficients and standard error</w:t>
      </w:r>
    </w:p>
    <w:p w14:paraId="6117CF46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b/>
          <w:bCs/>
          <w:sz w:val="20"/>
          <w:szCs w:val="20"/>
        </w:rPr>
        <w:t>Table A2. Results of multivariate logistic regression (coefficients and SE)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41"/>
        <w:gridCol w:w="717"/>
        <w:gridCol w:w="1241"/>
        <w:gridCol w:w="1576"/>
        <w:gridCol w:w="1576"/>
        <w:gridCol w:w="2838"/>
        <w:gridCol w:w="1193"/>
      </w:tblGrid>
      <w:tr w:rsidR="00D64B9B" w:rsidRPr="007D3385" w14:paraId="00BBAC64" w14:textId="77777777" w:rsidTr="00BD5283">
        <w:trPr>
          <w:trHeight w:val="331"/>
          <w:tblHeader/>
          <w:jc w:val="center"/>
        </w:trPr>
        <w:tc>
          <w:tcPr>
            <w:tcW w:w="424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AB1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7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B521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3A2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Event N</w:t>
            </w:r>
          </w:p>
        </w:tc>
        <w:tc>
          <w:tcPr>
            <w:tcW w:w="157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0FC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57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6FA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SE</w:t>
            </w:r>
          </w:p>
        </w:tc>
        <w:tc>
          <w:tcPr>
            <w:tcW w:w="283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1BE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19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15CA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D64B9B" w:rsidRPr="007D3385" w14:paraId="2A033FCF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1D4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History of abdominal surgery</w:t>
            </w:r>
          </w:p>
        </w:tc>
        <w:tc>
          <w:tcPr>
            <w:tcW w:w="7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CB6F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18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849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ADC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C77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289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32DDDE38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3A8B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370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779A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F14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642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D99E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5670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6A79CB29" w14:textId="77777777" w:rsidTr="00BD5283">
        <w:trPr>
          <w:trHeight w:val="429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D50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0AD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1DAD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61FA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0.7429931750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8716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0.3631830777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574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0.0311674230, 1.4548189271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31D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0.041</w:t>
            </w:r>
          </w:p>
        </w:tc>
      </w:tr>
      <w:tr w:rsidR="00D64B9B" w:rsidRPr="007D3385" w14:paraId="69212FFE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3DDB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Peritonitis signs developing during conservative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E0FB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F0C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96D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013B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451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1D19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4CC4449B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035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A87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B069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D60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721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25F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F06C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24BD3286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8C44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B23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3E6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89C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2.2519484067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B408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0.5410328184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910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1.1915435682, 3.3123532453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46BE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3977D177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806D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B168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601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AE5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0.0825267906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74B3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0.0179936114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A63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0.0472599602, 0.1177936209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58C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4622C17E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B8FC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24-hour NLR increase after admission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7C56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D8AF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F6B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0.8547182111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FEE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0.1505556396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1CD0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0.5596345798, 1.1498018424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CCA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6FAE2CAC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E4E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fecal sign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3B7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65F3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7FE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4A6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1A70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0D8E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3E14767C" w14:textId="77777777" w:rsidTr="00BD5283">
        <w:trPr>
          <w:trHeight w:val="429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4AE0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4664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5A78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0D8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80CC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F960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C1D1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6EBA6869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544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055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E754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181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1.3721945962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B28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0.3757556697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9B6E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0.6357270166, 2.1086621757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49B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64B9B" w:rsidRPr="007D3385" w14:paraId="1A5DF505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852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Mesenteric vascular sign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BAB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784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8ADB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F2F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D11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336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75D739AF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800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67E9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2B9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948E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81F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9A9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95B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4B9B" w:rsidRPr="007D3385" w14:paraId="30FA1837" w14:textId="77777777" w:rsidTr="00BD5283">
        <w:trPr>
          <w:trHeight w:val="421"/>
          <w:jc w:val="center"/>
        </w:trPr>
        <w:tc>
          <w:tcPr>
            <w:tcW w:w="424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CF55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3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E0EA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385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593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1.5679361109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BA8E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0.5544314935</w:t>
            </w:r>
          </w:p>
        </w:tc>
        <w:tc>
          <w:tcPr>
            <w:tcW w:w="283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BDE5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0.4812703517, 2.6546018702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A3F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D64B9B" w:rsidRPr="007D3385" w14:paraId="1126D60E" w14:textId="77777777" w:rsidTr="00BD5283">
        <w:trPr>
          <w:trHeight w:val="421"/>
          <w:jc w:val="center"/>
        </w:trPr>
        <w:tc>
          <w:tcPr>
            <w:tcW w:w="13382" w:type="dxa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C14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Abbreviations: CI = Confidence Interval, OR = Odds Ratio, SE = Standard Error, NA</w:t>
            </w:r>
          </w:p>
        </w:tc>
      </w:tr>
    </w:tbl>
    <w:p w14:paraId="19EE83F8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</w:p>
    <w:p w14:paraId="6E49935D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7D3385">
        <w:rPr>
          <w:rFonts w:ascii="Times New Roman" w:hAnsi="Times New Roman" w:cs="Times New Roman"/>
          <w:b/>
          <w:bCs/>
          <w:sz w:val="24"/>
        </w:rPr>
        <w:t>Appendix 3. Goodness‑of‑fit tests</w:t>
      </w:r>
    </w:p>
    <w:p w14:paraId="17A74190" w14:textId="77777777" w:rsidR="00D64B9B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8ADEA6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b/>
          <w:bCs/>
          <w:sz w:val="20"/>
          <w:szCs w:val="20"/>
        </w:rPr>
        <w:t>Table A3. Goodness‑of‑fit for the multivariate logistic regression model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D64B9B" w:rsidRPr="007D3385" w14:paraId="5ECF568E" w14:textId="77777777" w:rsidTr="00BD5283">
        <w:trPr>
          <w:tblHeader/>
          <w:jc w:val="center"/>
        </w:trPr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35A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Deviance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3667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 xml:space="preserve">Number in </w:t>
            </w:r>
            <w:proofErr w:type="spellStart"/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dataframe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DD2E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Number in model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615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Missing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0ADC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AIC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6D32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BIC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4E2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C-statistic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3CC3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McFadden's R²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53B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Cox &amp; Snell's R²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A02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Nagelkerke's R²</w:t>
            </w:r>
          </w:p>
        </w:tc>
      </w:tr>
      <w:tr w:rsidR="00D64B9B" w:rsidRPr="007D3385" w14:paraId="5EF70AAF" w14:textId="77777777" w:rsidTr="00BD5283">
        <w:trPr>
          <w:jc w:val="center"/>
        </w:trPr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8639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224.4976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2A30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366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1C5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366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CC1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2E5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238.4976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FBC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265.816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D26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0.8936791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E1E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0.4234905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54E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0.3627388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516C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0.5538737</w:t>
            </w:r>
          </w:p>
        </w:tc>
      </w:tr>
    </w:tbl>
    <w:p w14:paraId="4661BF3B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2EF2043D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7D3385">
        <w:rPr>
          <w:rFonts w:ascii="Times New Roman" w:hAnsi="Times New Roman" w:cs="Times New Roman"/>
          <w:b/>
          <w:bCs/>
          <w:sz w:val="24"/>
        </w:rPr>
        <w:lastRenderedPageBreak/>
        <w:t>Appendix 4. Classification accuracy at different risk thresholds</w:t>
      </w:r>
    </w:p>
    <w:p w14:paraId="15996EC8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b/>
          <w:bCs/>
          <w:sz w:val="20"/>
          <w:szCs w:val="20"/>
        </w:rPr>
        <w:t>Table A4. Classification accuracy of the model at different risk thresholds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41"/>
        <w:gridCol w:w="2672"/>
        <w:gridCol w:w="1551"/>
        <w:gridCol w:w="1551"/>
        <w:gridCol w:w="1101"/>
        <w:gridCol w:w="1111"/>
        <w:gridCol w:w="1481"/>
        <w:gridCol w:w="1481"/>
        <w:gridCol w:w="1241"/>
        <w:gridCol w:w="861"/>
      </w:tblGrid>
      <w:tr w:rsidR="00D64B9B" w:rsidRPr="007D3385" w14:paraId="5437E124" w14:textId="77777777" w:rsidTr="00BD5283">
        <w:trPr>
          <w:tblHeader/>
          <w:jc w:val="center"/>
        </w:trPr>
        <w:tc>
          <w:tcPr>
            <w:tcW w:w="204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A13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Risk score threshold</w:t>
            </w:r>
          </w:p>
        </w:tc>
        <w:tc>
          <w:tcPr>
            <w:tcW w:w="26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459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Linear Predictor Cutoff Point</w:t>
            </w:r>
          </w:p>
        </w:tc>
        <w:tc>
          <w:tcPr>
            <w:tcW w:w="155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FCE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Sensitivity (%)</w:t>
            </w:r>
          </w:p>
        </w:tc>
        <w:tc>
          <w:tcPr>
            <w:tcW w:w="155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33D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Specificity (%)</w:t>
            </w:r>
          </w:p>
        </w:tc>
        <w:tc>
          <w:tcPr>
            <w:tcW w:w="11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420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PPV (%)</w:t>
            </w:r>
          </w:p>
        </w:tc>
        <w:tc>
          <w:tcPr>
            <w:tcW w:w="111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E39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NPV (%)</w:t>
            </w:r>
          </w:p>
        </w:tc>
        <w:tc>
          <w:tcPr>
            <w:tcW w:w="14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27BB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Accuracy (%)</w:t>
            </w:r>
          </w:p>
        </w:tc>
        <w:tc>
          <w:tcPr>
            <w:tcW w:w="14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DD2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Precision (%)</w:t>
            </w:r>
          </w:p>
        </w:tc>
        <w:tc>
          <w:tcPr>
            <w:tcW w:w="124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BD3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proofErr w:type="gramStart"/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Recall</w:t>
            </w:r>
            <w:proofErr w:type="gramEnd"/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 xml:space="preserve"> (%)</w:t>
            </w:r>
          </w:p>
        </w:tc>
        <w:tc>
          <w:tcPr>
            <w:tcW w:w="8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91D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F1</w:t>
            </w:r>
          </w:p>
        </w:tc>
      </w:tr>
      <w:tr w:rsidR="00D64B9B" w:rsidRPr="007D3385" w14:paraId="24B56B93" w14:textId="77777777" w:rsidTr="00BD5283">
        <w:trPr>
          <w:jc w:val="center"/>
        </w:trPr>
        <w:tc>
          <w:tcPr>
            <w:tcW w:w="204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06B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0%</w:t>
            </w:r>
          </w:p>
        </w:tc>
        <w:tc>
          <w:tcPr>
            <w:tcW w:w="26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F256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-Inf</w:t>
            </w:r>
          </w:p>
        </w:tc>
        <w:tc>
          <w:tcPr>
            <w:tcW w:w="155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67C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100.0</w:t>
            </w:r>
          </w:p>
        </w:tc>
        <w:tc>
          <w:tcPr>
            <w:tcW w:w="155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9C2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0.0</w:t>
            </w:r>
          </w:p>
        </w:tc>
        <w:tc>
          <w:tcPr>
            <w:tcW w:w="11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7F7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22.4</w:t>
            </w:r>
          </w:p>
        </w:tc>
        <w:tc>
          <w:tcPr>
            <w:tcW w:w="111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048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4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572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22.4</w:t>
            </w:r>
          </w:p>
        </w:tc>
        <w:tc>
          <w:tcPr>
            <w:tcW w:w="14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276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22.4</w:t>
            </w:r>
          </w:p>
        </w:tc>
        <w:tc>
          <w:tcPr>
            <w:tcW w:w="124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3E6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100.0</w:t>
            </w:r>
          </w:p>
        </w:tc>
        <w:tc>
          <w:tcPr>
            <w:tcW w:w="86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3CC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0.366</w:t>
            </w:r>
          </w:p>
        </w:tc>
      </w:tr>
      <w:tr w:rsidR="00D64B9B" w:rsidRPr="007D3385" w14:paraId="69401A58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BDD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10%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BE05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-2.1972246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070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87.8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D665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65.8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B478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42.6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306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94.9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A1A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70.8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736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42.6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702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87.8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BA0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0.574</w:t>
            </w:r>
          </w:p>
        </w:tc>
      </w:tr>
      <w:tr w:rsidR="00D64B9B" w:rsidRPr="007D3385" w14:paraId="442D149E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9B9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20%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4F0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-1.3862944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F70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76.8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349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82.4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602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55.8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680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92.5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70E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81.1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9E78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55.8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9DF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76.8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81E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0.646</w:t>
            </w:r>
          </w:p>
        </w:tc>
      </w:tr>
      <w:tr w:rsidR="00D64B9B" w:rsidRPr="007D3385" w14:paraId="60CFD88A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CD6D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30%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40C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-0.8472979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45D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74.4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6B3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89.4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2CB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67.0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81F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92.4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E57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86.1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EAA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67.0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31F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74.4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179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0.705</w:t>
            </w:r>
          </w:p>
        </w:tc>
      </w:tr>
      <w:tr w:rsidR="00D64B9B" w:rsidRPr="007D3385" w14:paraId="550D1751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1A8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40%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C575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-0.4054651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C9A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73.2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AB3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92.6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E48C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74.1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A0F2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92.3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E20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88.3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C30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74.1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04B3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73.2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6F7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0.736</w:t>
            </w:r>
          </w:p>
        </w:tc>
      </w:tr>
      <w:tr w:rsidR="00D64B9B" w:rsidRPr="007D3385" w14:paraId="02B9E4DF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738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50%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4B4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0.0000000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29E9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63.4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DE7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95.4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2C87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80.0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11E0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90.0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A1A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88.3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6D3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80.0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94A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63.4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46A9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0.707</w:t>
            </w:r>
          </w:p>
        </w:tc>
      </w:tr>
      <w:tr w:rsidR="00D64B9B" w:rsidRPr="007D3385" w14:paraId="0E438020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F37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60%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D56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0.4054651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B19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54.9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E2AF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96.5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7DF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81.8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D2C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88.1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4EB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87.2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A8F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81.8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D7D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54.9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B54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0.657</w:t>
            </w:r>
          </w:p>
        </w:tc>
      </w:tr>
      <w:tr w:rsidR="00D64B9B" w:rsidRPr="007D3385" w14:paraId="0098A319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047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70%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50C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0.8472979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D26A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50.0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15B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98.9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A9B7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93.2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C095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87.3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1CE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88.0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C30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93.2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C53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50.0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D69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0.651</w:t>
            </w:r>
          </w:p>
        </w:tc>
      </w:tr>
      <w:tr w:rsidR="00D64B9B" w:rsidRPr="007D3385" w14:paraId="167C5C35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9EB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80%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D76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1.3862944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529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31.7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261F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99.3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65F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92.9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9C6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83.4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5703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84.2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C7D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92.9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1E7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31.7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53B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0.473</w:t>
            </w:r>
          </w:p>
        </w:tc>
      </w:tr>
      <w:tr w:rsidR="00D64B9B" w:rsidRPr="007D3385" w14:paraId="19BF1EBA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2BD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≥ 90%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38C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2.1972246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7B1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23.2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10A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99.6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BFF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95.0</w:t>
            </w: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B624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81.8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526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82.5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7C7F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95.0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FE4C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23.2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8F5E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0.373</w:t>
            </w:r>
          </w:p>
        </w:tc>
      </w:tr>
      <w:tr w:rsidR="00D64B9B" w:rsidRPr="007D3385" w14:paraId="05CB9528" w14:textId="77777777" w:rsidTr="00BD5283">
        <w:trPr>
          <w:jc w:val="center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7DD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lastRenderedPageBreak/>
              <w:t>≥ 100%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8AC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Inf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9EC4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0.0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05D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100.0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CD1C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11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B8F2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77.6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EA44E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77.6</w:t>
            </w:r>
          </w:p>
        </w:tc>
        <w:tc>
          <w:tcPr>
            <w:tcW w:w="14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20A7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780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0.0</w:t>
            </w:r>
          </w:p>
        </w:tc>
        <w:tc>
          <w:tcPr>
            <w:tcW w:w="86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ADF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</w:tbl>
    <w:p w14:paraId="6E25CA63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sz w:val="24"/>
        </w:rPr>
        <w:sectPr w:rsidR="00D64B9B" w:rsidRPr="007D3385" w:rsidSect="00D64B9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AD23446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7D3385">
        <w:rPr>
          <w:rFonts w:ascii="Times New Roman" w:hAnsi="Times New Roman" w:cs="Times New Roman"/>
          <w:b/>
          <w:bCs/>
          <w:sz w:val="24"/>
        </w:rPr>
        <w:lastRenderedPageBreak/>
        <w:t>Appendix 5. Internal validation (10‑fold cross‑validation)</w:t>
      </w:r>
    </w:p>
    <w:p w14:paraId="2D2C2218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1124C332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b/>
          <w:bCs/>
          <w:sz w:val="20"/>
          <w:szCs w:val="20"/>
        </w:rPr>
        <w:t>Table A5. AUC estimates from the logistic model validated by 10‑fold cross‑validation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461"/>
        <w:gridCol w:w="1262"/>
        <w:gridCol w:w="1362"/>
        <w:gridCol w:w="1262"/>
        <w:gridCol w:w="1262"/>
      </w:tblGrid>
      <w:tr w:rsidR="00D64B9B" w:rsidRPr="007D3385" w14:paraId="5FC85EFA" w14:textId="77777777" w:rsidTr="00BD5283">
        <w:trPr>
          <w:tblHeader/>
          <w:jc w:val="center"/>
        </w:trPr>
        <w:tc>
          <w:tcPr>
            <w:tcW w:w="14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10BC9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model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E07D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AUC</w:t>
            </w:r>
          </w:p>
        </w:tc>
        <w:tc>
          <w:tcPr>
            <w:tcW w:w="13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C90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se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3AF51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lower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9AE1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upper</w:t>
            </w:r>
          </w:p>
        </w:tc>
      </w:tr>
      <w:tr w:rsidR="00D64B9B" w:rsidRPr="007D3385" w14:paraId="74147667" w14:textId="77777777" w:rsidTr="00BD5283">
        <w:trPr>
          <w:jc w:val="center"/>
        </w:trPr>
        <w:tc>
          <w:tcPr>
            <w:tcW w:w="14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869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Logistic GLM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4785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0.8723806</w:t>
            </w:r>
          </w:p>
        </w:tc>
        <w:tc>
          <w:tcPr>
            <w:tcW w:w="13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9746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0.02411451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501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0.8251171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5F5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jc w:val="righ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0.9196442</w:t>
            </w:r>
          </w:p>
        </w:tc>
      </w:tr>
    </w:tbl>
    <w:p w14:paraId="500F398A" w14:textId="77777777" w:rsidR="00D64B9B" w:rsidRPr="007D3385" w:rsidRDefault="00D64B9B" w:rsidP="00D64B9B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731F412A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b/>
          <w:bCs/>
          <w:sz w:val="20"/>
          <w:szCs w:val="20"/>
        </w:rPr>
        <w:t>Table A6. Internal validation C‑index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52"/>
        <w:gridCol w:w="1031"/>
        <w:gridCol w:w="1031"/>
        <w:gridCol w:w="1371"/>
        <w:gridCol w:w="861"/>
      </w:tblGrid>
      <w:tr w:rsidR="00D64B9B" w:rsidRPr="007D3385" w14:paraId="5E9303F3" w14:textId="77777777" w:rsidTr="00BD5283">
        <w:trPr>
          <w:tblHeader/>
          <w:jc w:val="center"/>
        </w:trPr>
        <w:tc>
          <w:tcPr>
            <w:tcW w:w="245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E6E4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Validation method</w:t>
            </w:r>
          </w:p>
        </w:tc>
        <w:tc>
          <w:tcPr>
            <w:tcW w:w="10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438D6B6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3F9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C-index</w:t>
            </w:r>
          </w:p>
        </w:tc>
        <w:tc>
          <w:tcPr>
            <w:tcW w:w="137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356D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95% CI</w:t>
            </w:r>
          </w:p>
        </w:tc>
        <w:tc>
          <w:tcPr>
            <w:tcW w:w="8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86B0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SE</w:t>
            </w:r>
          </w:p>
        </w:tc>
      </w:tr>
      <w:tr w:rsidR="00D64B9B" w:rsidRPr="007D3385" w14:paraId="095A94C2" w14:textId="77777777" w:rsidTr="00BD5283">
        <w:trPr>
          <w:jc w:val="center"/>
        </w:trPr>
        <w:tc>
          <w:tcPr>
            <w:tcW w:w="245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5E57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cross-validated prediction</w:t>
            </w:r>
          </w:p>
        </w:tc>
        <w:tc>
          <w:tcPr>
            <w:tcW w:w="10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542EFA02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06BB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0.872</w:t>
            </w:r>
          </w:p>
        </w:tc>
        <w:tc>
          <w:tcPr>
            <w:tcW w:w="137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EBE8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0.825-0.920</w:t>
            </w:r>
          </w:p>
        </w:tc>
        <w:tc>
          <w:tcPr>
            <w:tcW w:w="8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6F10F" w14:textId="77777777" w:rsidR="00D64B9B" w:rsidRPr="007D3385" w:rsidRDefault="00D64B9B" w:rsidP="00BD5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D3385">
              <w:rPr>
                <w:rFonts w:ascii="Times New Roman" w:eastAsia="DejaVu Sans" w:hAnsi="Times New Roman" w:cs="Times New Roman"/>
                <w:color w:val="000000"/>
                <w:sz w:val="24"/>
              </w:rPr>
              <w:t>0.024</w:t>
            </w:r>
          </w:p>
        </w:tc>
      </w:tr>
    </w:tbl>
    <w:p w14:paraId="730994D0" w14:textId="77777777" w:rsidR="00D64B9B" w:rsidRPr="007D3385" w:rsidRDefault="00D64B9B" w:rsidP="00D64B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38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19EF48F" wp14:editId="5A18FBAC">
            <wp:extent cx="5314950" cy="44291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4" cy="6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3385">
        <w:rPr>
          <w:rFonts w:ascii="Times New Roman" w:hAnsi="Times New Roman" w:cs="Times New Roman"/>
          <w:b/>
          <w:bCs/>
          <w:sz w:val="20"/>
          <w:szCs w:val="20"/>
        </w:rPr>
        <w:t xml:space="preserve">Fig. A1 K‑fold cross‑validation ROC curves (k‑fold CV; </w:t>
      </w:r>
      <w:proofErr w:type="spellStart"/>
      <w:r w:rsidRPr="007D3385">
        <w:rPr>
          <w:rFonts w:ascii="Times New Roman" w:hAnsi="Times New Roman" w:cs="Times New Roman"/>
          <w:b/>
          <w:bCs/>
          <w:sz w:val="20"/>
          <w:szCs w:val="20"/>
        </w:rPr>
        <w:t>riskRegression</w:t>
      </w:r>
      <w:proofErr w:type="spellEnd"/>
      <w:r w:rsidRPr="007D3385">
        <w:rPr>
          <w:rFonts w:ascii="Times New Roman" w:hAnsi="Times New Roman" w:cs="Times New Roman"/>
          <w:b/>
          <w:bCs/>
          <w:sz w:val="20"/>
          <w:szCs w:val="20"/>
        </w:rPr>
        <w:t xml:space="preserve"> package).</w:t>
      </w:r>
    </w:p>
    <w:p w14:paraId="6B2470EE" w14:textId="77777777" w:rsidR="00A91650" w:rsidRDefault="00A91650"/>
    <w:sectPr w:rsidR="00A91650" w:rsidSect="00D64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20B06030308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FF2E" w14:textId="77777777" w:rsidR="00D64B9B" w:rsidRDefault="00D64B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474896"/>
      <w:docPartObj>
        <w:docPartGallery w:val="Page Numbers (Bottom of Page)"/>
        <w:docPartUnique/>
      </w:docPartObj>
    </w:sdtPr>
    <w:sdtContent>
      <w:p w14:paraId="56BA1A2D" w14:textId="77777777" w:rsidR="00D64B9B" w:rsidRDefault="00D64B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8B07C1" w14:textId="77777777" w:rsidR="00D64B9B" w:rsidRDefault="00D64B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C07F" w14:textId="77777777" w:rsidR="00D64B9B" w:rsidRDefault="00D64B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DAA4" w14:textId="77777777" w:rsidR="00D64B9B" w:rsidRDefault="00D64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1189" w14:textId="77777777" w:rsidR="00D64B9B" w:rsidRDefault="00D64B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FB0E" w14:textId="77777777" w:rsidR="00D64B9B" w:rsidRDefault="00D64B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9B"/>
    <w:rsid w:val="00087846"/>
    <w:rsid w:val="000E2EDD"/>
    <w:rsid w:val="00A91650"/>
    <w:rsid w:val="00CD53DF"/>
    <w:rsid w:val="00D64B9B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CF03E"/>
  <w15:chartTrackingRefBased/>
  <w15:docId w15:val="{F9D26372-5437-47B0-A9ED-E644F458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B9B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B9B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B9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B9B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B9B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B9B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B9B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B9B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B9B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B9B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B9B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D6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B9B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64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B9B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64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B9B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D64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B9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B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B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4B9B"/>
    <w:rPr>
      <w:rFonts w:eastAsiaTheme="minorEastAsia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D64B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4B9B"/>
    <w:rPr>
      <w:rFonts w:eastAsiaTheme="minorEastAsia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D64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2026-06-24T12:44:00Z</dcterms:created>
  <dcterms:modified xsi:type="dcterms:W3CDTF">2026-06-24T12:45:00Z</dcterms:modified>
</cp:coreProperties>
</file>