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BCE1A0" w14:textId="77777777" w:rsidR="00AC4F88" w:rsidRPr="00AB3D2E" w:rsidRDefault="00AC4F88" w:rsidP="00AB3D2E"/>
    <w:p w14:paraId="44287B16" w14:textId="15B1065B" w:rsidR="00AB3D2E" w:rsidRPr="00F247C8" w:rsidRDefault="00AB3D2E" w:rsidP="00AB3D2E">
      <w:pPr>
        <w:spacing w:after="0" w:line="480" w:lineRule="auto"/>
        <w:ind w:left="360"/>
        <w:jc w:val="center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 w:rsidRPr="00F247C8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</w:rPr>
        <w:t>Table</w:t>
      </w:r>
      <w:r w:rsidR="000A2FD0" w:rsidRPr="00F247C8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</w:rPr>
        <w:t xml:space="preserve"> </w:t>
      </w:r>
      <w:r w:rsidR="002A2ADD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</w:rPr>
        <w:t>S1</w:t>
      </w:r>
      <w:r w:rsidRPr="00F247C8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</w:rPr>
        <w:t>.</w:t>
      </w:r>
      <w:r w:rsidRPr="00F247C8"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Primers used in real-time quantitative PCR</w:t>
      </w:r>
    </w:p>
    <w:p w14:paraId="6006CB2A" w14:textId="77777777" w:rsidR="00AB3D2E" w:rsidRDefault="00AB3D2E" w:rsidP="00AB3D2E">
      <w:pPr>
        <w:tabs>
          <w:tab w:val="left" w:pos="1284"/>
        </w:tabs>
      </w:pPr>
      <w:r>
        <w:tab/>
      </w:r>
      <w:bookmarkStart w:id="0" w:name="_GoBack"/>
      <w:bookmarkEnd w:id="0"/>
    </w:p>
    <w:tbl>
      <w:tblPr>
        <w:tblStyle w:val="PlainTable2"/>
        <w:tblW w:w="10110" w:type="dxa"/>
        <w:tblLook w:val="04A0" w:firstRow="1" w:lastRow="0" w:firstColumn="1" w:lastColumn="0" w:noHBand="0" w:noVBand="1"/>
      </w:tblPr>
      <w:tblGrid>
        <w:gridCol w:w="1460"/>
        <w:gridCol w:w="1030"/>
        <w:gridCol w:w="3746"/>
        <w:gridCol w:w="486"/>
        <w:gridCol w:w="1648"/>
        <w:gridCol w:w="1624"/>
        <w:gridCol w:w="116"/>
      </w:tblGrid>
      <w:tr w:rsidR="00AB3D2E" w14:paraId="629F0D32" w14:textId="77777777" w:rsidTr="00BB26A4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16" w:type="dxa"/>
          <w:trHeight w:val="10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vAlign w:val="center"/>
          </w:tcPr>
          <w:p w14:paraId="7FACF1BB" w14:textId="77777777" w:rsidR="00AB3D2E" w:rsidRDefault="00AB3D2E" w:rsidP="000D29C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</w:rPr>
              <w:t>Genes</w:t>
            </w:r>
          </w:p>
        </w:tc>
        <w:tc>
          <w:tcPr>
            <w:tcW w:w="1030" w:type="dxa"/>
            <w:vAlign w:val="center"/>
          </w:tcPr>
          <w:p w14:paraId="28C28D38" w14:textId="77777777" w:rsidR="00AB3D2E" w:rsidRDefault="00AB3D2E" w:rsidP="000D29C1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</w:rPr>
              <w:t>Primer</w:t>
            </w:r>
          </w:p>
        </w:tc>
        <w:tc>
          <w:tcPr>
            <w:tcW w:w="3746" w:type="dxa"/>
            <w:vAlign w:val="center"/>
          </w:tcPr>
          <w:p w14:paraId="4AB0619A" w14:textId="77777777" w:rsidR="00AB3D2E" w:rsidRDefault="00AB3D2E" w:rsidP="000D29C1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</w:rPr>
              <w:t>Primer Sequence</w:t>
            </w:r>
          </w:p>
        </w:tc>
        <w:tc>
          <w:tcPr>
            <w:tcW w:w="2134" w:type="dxa"/>
            <w:gridSpan w:val="2"/>
            <w:vAlign w:val="center"/>
          </w:tcPr>
          <w:p w14:paraId="6B9D3CFD" w14:textId="77777777" w:rsidR="00AB3D2E" w:rsidRDefault="00AB3D2E" w:rsidP="000D29C1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</w:rPr>
              <w:t>Product Size (bp)</w:t>
            </w:r>
          </w:p>
        </w:tc>
        <w:tc>
          <w:tcPr>
            <w:tcW w:w="1624" w:type="dxa"/>
            <w:vAlign w:val="center"/>
          </w:tcPr>
          <w:p w14:paraId="0A39B345" w14:textId="77777777" w:rsidR="00AB3D2E" w:rsidRDefault="00AB3D2E" w:rsidP="000D29C1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</w:rPr>
              <w:t>References</w:t>
            </w:r>
          </w:p>
        </w:tc>
      </w:tr>
      <w:tr w:rsidR="00AB3D2E" w14:paraId="14290492" w14:textId="77777777" w:rsidTr="00ED2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vAlign w:val="center"/>
          </w:tcPr>
          <w:p w14:paraId="0ACA1AAC" w14:textId="77777777" w:rsidR="00AB3D2E" w:rsidRPr="00C83A60" w:rsidRDefault="00AB3D2E" w:rsidP="00BB2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E101A"/>
                <w:sz w:val="24"/>
                <w:szCs w:val="24"/>
              </w:rPr>
            </w:pPr>
            <w:r w:rsidRPr="00C83A60">
              <w:rPr>
                <w:rFonts w:ascii="Times New Roman" w:eastAsia="Times New Roman" w:hAnsi="Times New Roman" w:cs="Times New Roman"/>
                <w:i/>
                <w:iCs/>
                <w:color w:val="0E101A"/>
                <w:sz w:val="24"/>
                <w:szCs w:val="24"/>
              </w:rPr>
              <w:t>TLR-2</w:t>
            </w:r>
          </w:p>
        </w:tc>
        <w:tc>
          <w:tcPr>
            <w:tcW w:w="1030" w:type="dxa"/>
          </w:tcPr>
          <w:p w14:paraId="066DF45B" w14:textId="77777777" w:rsidR="00AB3D2E" w:rsidRDefault="00AB3D2E" w:rsidP="00BB26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</w:rPr>
              <w:t>Forward</w:t>
            </w:r>
          </w:p>
          <w:p w14:paraId="4343FF8E" w14:textId="77777777" w:rsidR="00AB3D2E" w:rsidRDefault="00AB3D2E" w:rsidP="00BB26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</w:rPr>
              <w:t>Reverse</w:t>
            </w:r>
          </w:p>
        </w:tc>
        <w:tc>
          <w:tcPr>
            <w:tcW w:w="3746" w:type="dxa"/>
            <w:vAlign w:val="center"/>
          </w:tcPr>
          <w:p w14:paraId="22AFC2C7" w14:textId="77777777" w:rsidR="00AB3D2E" w:rsidRPr="004973F2" w:rsidRDefault="00AB3D2E" w:rsidP="00B97350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 w:hint="cs"/>
                <w:sz w:val="18"/>
                <w:szCs w:val="18"/>
              </w:rPr>
              <w:t>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973F2">
              <w:rPr>
                <w:rFonts w:ascii="Times New Roman" w:hAnsi="Times New Roman" w:cs="Times New Roman"/>
                <w:sz w:val="18"/>
                <w:szCs w:val="18"/>
              </w:rPr>
              <w:t>TTATCCAGCACACGAATACACAG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-3´</w:t>
            </w:r>
          </w:p>
          <w:p w14:paraId="4BD01E1D" w14:textId="77777777" w:rsidR="00AB3D2E" w:rsidRDefault="00AB3D2E" w:rsidP="00B9735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 w:hint="cs"/>
                <w:sz w:val="18"/>
                <w:szCs w:val="18"/>
              </w:rPr>
              <w:t>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973F2">
              <w:rPr>
                <w:rFonts w:ascii="Times New Roman" w:hAnsi="Times New Roman" w:cs="Times New Roman"/>
                <w:sz w:val="18"/>
                <w:szCs w:val="18"/>
              </w:rPr>
              <w:t>AGGCATCTGGTAGAGTCATCAA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-3´</w:t>
            </w:r>
          </w:p>
        </w:tc>
        <w:tc>
          <w:tcPr>
            <w:tcW w:w="486" w:type="dxa"/>
            <w:vAlign w:val="center"/>
          </w:tcPr>
          <w:p w14:paraId="0A2025DD" w14:textId="77777777" w:rsidR="00AB3D2E" w:rsidRDefault="00AB3D2E" w:rsidP="00B973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3388" w:type="dxa"/>
            <w:gridSpan w:val="3"/>
            <w:vAlign w:val="center"/>
          </w:tcPr>
          <w:p w14:paraId="0E595546" w14:textId="77777777" w:rsidR="00AB3D2E" w:rsidRPr="00B97350" w:rsidRDefault="00B97350" w:rsidP="00B973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97350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B9735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&lt;EndNote&gt;&lt;Cite&gt;&lt;Author&gt;Wang&lt;/Author&gt;&lt;Year&gt;2015&lt;/Year&gt;&lt;RecNum&gt;54&lt;/RecNum&gt;&lt;DisplayText&gt;[1]&lt;/DisplayText&gt;&lt;record&gt;&lt;rec-number&gt;54&lt;/rec-number&gt;&lt;foreign-keys&gt;&lt;key app="EN" db-id="vz0dttwfjw2er8e2er6vvaelzdpafepzed05" timestamp="1720260518"&gt;54&lt;/key&gt;&lt;/foreign-keys&gt;&lt;ref-type name="Journal Article"&gt;17&lt;/ref-type&gt;&lt;contributors&gt;&lt;authors&gt;&lt;author&gt;Wang, Shuai&lt;/author&gt;&lt;author&gt;Liu, Kun&lt;/author&gt;&lt;author&gt;Seneviratne, Chaminda Jayampath&lt;/author&gt;&lt;author&gt;Li, Xuechen&lt;/author&gt;&lt;author&gt;Cheung, Gary Shun Pan&lt;/author&gt;&lt;author&gt;Jin, Lijian&lt;/author&gt;&lt;author&gt;Chu, Chun Hung&lt;/author&gt;&lt;author&gt;Zhang, Chengfei %J Biomedical reports&lt;/author&gt;&lt;/authors&gt;&lt;/contributors&gt;&lt;titles&gt;&lt;title&gt;Lipoteichoic acid from an Enterococcus faecalis clinical strain promotes TNF-α expression through the NF-κB and p38 MAPK signaling pathways in differentiated THP-1 macrophages&lt;/title&gt;&lt;/titles&gt;&lt;pages&gt;697-702&lt;/pages&gt;&lt;volume&gt;3&lt;/volume&gt;&lt;number&gt;5&lt;/number&gt;&lt;dates&gt;&lt;year&gt;2015&lt;/year&gt;&lt;/dates&gt;&lt;isbn&gt;2049-9434&lt;/isbn&gt;&lt;urls&gt;&lt;/urls&gt;&lt;/record&gt;&lt;/Cite&gt;&lt;/EndNote&gt;</w:instrText>
            </w:r>
            <w:r w:rsidRPr="00B9735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B97350">
              <w:rPr>
                <w:rFonts w:ascii="Times New Roman" w:hAnsi="Times New Roman" w:cs="Times New Roman"/>
                <w:noProof/>
                <w:sz w:val="18"/>
                <w:szCs w:val="18"/>
              </w:rPr>
              <w:t>[1]</w:t>
            </w:r>
            <w:r w:rsidRPr="00B9735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AB3D2E" w14:paraId="240DDF31" w14:textId="77777777" w:rsidTr="00ED2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vAlign w:val="center"/>
          </w:tcPr>
          <w:p w14:paraId="04A119FA" w14:textId="77777777" w:rsidR="00AB3D2E" w:rsidRPr="00C83A60" w:rsidRDefault="00AB3D2E" w:rsidP="00BB2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E101A"/>
                <w:sz w:val="24"/>
                <w:szCs w:val="24"/>
              </w:rPr>
            </w:pPr>
            <w:r w:rsidRPr="00C83A60">
              <w:rPr>
                <w:rFonts w:ascii="Times New Roman" w:eastAsia="Times New Roman" w:hAnsi="Times New Roman" w:cs="Times New Roman"/>
                <w:i/>
                <w:iCs/>
                <w:color w:val="0E101A"/>
                <w:sz w:val="24"/>
                <w:szCs w:val="24"/>
              </w:rPr>
              <w:t>TLR-4</w:t>
            </w:r>
          </w:p>
        </w:tc>
        <w:tc>
          <w:tcPr>
            <w:tcW w:w="1030" w:type="dxa"/>
          </w:tcPr>
          <w:p w14:paraId="336E437E" w14:textId="77777777" w:rsidR="00AB3D2E" w:rsidRDefault="00AB3D2E" w:rsidP="00BB26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</w:rPr>
              <w:t>Forward</w:t>
            </w:r>
          </w:p>
          <w:p w14:paraId="2820110A" w14:textId="77777777" w:rsidR="00AB3D2E" w:rsidRDefault="00AB3D2E" w:rsidP="00BB26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</w:rPr>
              <w:t>Reverse</w:t>
            </w:r>
          </w:p>
        </w:tc>
        <w:tc>
          <w:tcPr>
            <w:tcW w:w="3746" w:type="dxa"/>
            <w:vAlign w:val="center"/>
          </w:tcPr>
          <w:p w14:paraId="713A856C" w14:textId="77777777" w:rsidR="00AB3D2E" w:rsidRPr="004973F2" w:rsidRDefault="00AB3D2E" w:rsidP="00B97350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 w:hint="cs"/>
                <w:sz w:val="18"/>
                <w:szCs w:val="18"/>
              </w:rPr>
              <w:t>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973F2">
              <w:rPr>
                <w:rFonts w:ascii="Times New Roman" w:hAnsi="Times New Roman" w:cs="Times New Roman"/>
                <w:sz w:val="18"/>
                <w:szCs w:val="18"/>
              </w:rPr>
              <w:t>AGACCTGTCCCTGAACCCTAT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-3´</w:t>
            </w:r>
          </w:p>
          <w:p w14:paraId="6D1D6370" w14:textId="77777777" w:rsidR="00AB3D2E" w:rsidRDefault="00AB3D2E" w:rsidP="00B9735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 w:hint="cs"/>
                <w:sz w:val="18"/>
                <w:szCs w:val="18"/>
              </w:rPr>
              <w:t>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973F2">
              <w:rPr>
                <w:rFonts w:ascii="Times New Roman" w:hAnsi="Times New Roman" w:cs="Times New Roman"/>
                <w:sz w:val="18"/>
                <w:szCs w:val="18"/>
              </w:rPr>
              <w:t>CGATGGACTTCTAAACCAGCCA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-3´</w:t>
            </w:r>
          </w:p>
        </w:tc>
        <w:tc>
          <w:tcPr>
            <w:tcW w:w="486" w:type="dxa"/>
            <w:vAlign w:val="center"/>
          </w:tcPr>
          <w:p w14:paraId="1B7CAC69" w14:textId="77777777" w:rsidR="00AB3D2E" w:rsidRDefault="00AB3D2E" w:rsidP="00B973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147</w:t>
            </w:r>
          </w:p>
        </w:tc>
        <w:tc>
          <w:tcPr>
            <w:tcW w:w="3388" w:type="dxa"/>
            <w:gridSpan w:val="3"/>
            <w:vAlign w:val="center"/>
          </w:tcPr>
          <w:p w14:paraId="18EF0134" w14:textId="77777777" w:rsidR="00AB3D2E" w:rsidRPr="00B97350" w:rsidRDefault="00B97350" w:rsidP="00B973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97350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B9735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&lt;EndNote&gt;&lt;Cite&gt;&lt;Author&gt;Zhao&lt;/Author&gt;&lt;Year&gt;2019&lt;/Year&gt;&lt;RecNum&gt;55&lt;/RecNum&gt;&lt;DisplayText&gt;[2]&lt;/DisplayText&gt;&lt;record&gt;&lt;rec-number&gt;55&lt;/rec-number&gt;&lt;foreign-keys&gt;&lt;key app="EN" db-id="vz0dttwfjw2er8e2er6vvaelzdpafepzed05" timestamp="1720260551"&gt;55&lt;/key&gt;&lt;/foreign-keys&gt;&lt;ref-type name="Journal Article"&gt;17&lt;/ref-type&gt;&lt;contributors&gt;&lt;authors&gt;&lt;author&gt;Zhao, Lina&lt;/author&gt;&lt;author&gt;Ma, Ruixia&lt;/author&gt;&lt;author&gt;Zhang, Li&lt;/author&gt;&lt;author&gt;Yuan, Xiaolan&lt;/author&gt;&lt;author&gt;Wu, Jinhua&lt;/author&gt;&lt;author&gt;He, Lirong&lt;/author&gt;&lt;author&gt;Liu, Guocheng&lt;/author&gt;&lt;author&gt;Du, Rui %J Placenta&lt;/author&gt;&lt;/authors&gt;&lt;/contributors&gt;&lt;titles&gt;&lt;title&gt;Inhibition of HIF-1a-mediated TLR4 activation decreases apoptosis and promotes angiogenesis of placental microvascular endothelial cells during severe pre-eclampsia pathogenesis&lt;/title&gt;&lt;/titles&gt;&lt;pages&gt;8-16&lt;/pages&gt;&lt;volume&gt;83&lt;/volume&gt;&lt;dates&gt;&lt;year&gt;2019&lt;/year&gt;&lt;/dates&gt;&lt;isbn&gt;0143-4004&lt;/isbn&gt;&lt;urls&gt;&lt;/urls&gt;&lt;/record&gt;&lt;/Cite&gt;&lt;/EndNote&gt;</w:instrText>
            </w:r>
            <w:r w:rsidRPr="00B9735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B97350">
              <w:rPr>
                <w:rFonts w:ascii="Times New Roman" w:hAnsi="Times New Roman" w:cs="Times New Roman"/>
                <w:noProof/>
                <w:sz w:val="18"/>
                <w:szCs w:val="18"/>
              </w:rPr>
              <w:t>[2]</w:t>
            </w:r>
            <w:r w:rsidRPr="00B9735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AB3D2E" w14:paraId="4C08D23B" w14:textId="77777777" w:rsidTr="00ED2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vAlign w:val="center"/>
          </w:tcPr>
          <w:p w14:paraId="4338103A" w14:textId="77777777" w:rsidR="00AB3D2E" w:rsidRPr="00C83A60" w:rsidRDefault="00AB3D2E" w:rsidP="00BB2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E101A"/>
                <w:sz w:val="24"/>
                <w:szCs w:val="24"/>
              </w:rPr>
            </w:pPr>
            <w:r w:rsidRPr="00C83A60">
              <w:rPr>
                <w:rFonts w:ascii="Times New Roman" w:eastAsia="Times New Roman" w:hAnsi="Times New Roman" w:cs="Times New Roman"/>
                <w:i/>
                <w:iCs/>
                <w:color w:val="0E101A"/>
                <w:sz w:val="24"/>
                <w:szCs w:val="24"/>
              </w:rPr>
              <w:t>TLR-9</w:t>
            </w:r>
          </w:p>
        </w:tc>
        <w:tc>
          <w:tcPr>
            <w:tcW w:w="1030" w:type="dxa"/>
          </w:tcPr>
          <w:p w14:paraId="58D3481A" w14:textId="77777777" w:rsidR="00AB3D2E" w:rsidRDefault="00AB3D2E" w:rsidP="00BB26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</w:rPr>
              <w:t>Forward</w:t>
            </w:r>
          </w:p>
          <w:p w14:paraId="3C81EEC7" w14:textId="77777777" w:rsidR="00AB3D2E" w:rsidRDefault="00AB3D2E" w:rsidP="00BB26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</w:rPr>
              <w:t>Reverse</w:t>
            </w:r>
          </w:p>
        </w:tc>
        <w:tc>
          <w:tcPr>
            <w:tcW w:w="3746" w:type="dxa"/>
            <w:vAlign w:val="center"/>
          </w:tcPr>
          <w:p w14:paraId="5FB22042" w14:textId="77777777" w:rsidR="00AB3D2E" w:rsidRPr="004973F2" w:rsidRDefault="00AB3D2E" w:rsidP="00B97350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 w:hint="cs"/>
                <w:sz w:val="18"/>
                <w:szCs w:val="18"/>
              </w:rPr>
              <w:t>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973F2">
              <w:rPr>
                <w:rFonts w:ascii="Times New Roman" w:hAnsi="Times New Roman" w:cs="Times New Roman"/>
                <w:sz w:val="18"/>
                <w:szCs w:val="18"/>
              </w:rPr>
              <w:t>CTGCCACATGACCATCGAG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-3´</w:t>
            </w:r>
          </w:p>
          <w:p w14:paraId="4F8C6742" w14:textId="77777777" w:rsidR="00AB3D2E" w:rsidRDefault="00AB3D2E" w:rsidP="00B9735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 w:hint="cs"/>
                <w:sz w:val="18"/>
                <w:szCs w:val="18"/>
              </w:rPr>
              <w:t>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973F2">
              <w:rPr>
                <w:rFonts w:ascii="Times New Roman" w:hAnsi="Times New Roman" w:cs="Times New Roman"/>
                <w:sz w:val="18"/>
                <w:szCs w:val="18"/>
              </w:rPr>
              <w:t>GGACAGGGATATGAGGGATTTGG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-3´</w:t>
            </w:r>
          </w:p>
        </w:tc>
        <w:tc>
          <w:tcPr>
            <w:tcW w:w="486" w:type="dxa"/>
            <w:vAlign w:val="center"/>
          </w:tcPr>
          <w:p w14:paraId="58621C4D" w14:textId="77777777" w:rsidR="00AB3D2E" w:rsidRDefault="00AB3D2E" w:rsidP="00B973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3388" w:type="dxa"/>
            <w:gridSpan w:val="3"/>
            <w:vAlign w:val="center"/>
          </w:tcPr>
          <w:p w14:paraId="46E4A132" w14:textId="77777777" w:rsidR="00AB3D2E" w:rsidRPr="00B97350" w:rsidRDefault="00B97350" w:rsidP="00B973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97350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B97350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&lt;EndNote&gt;&lt;Cite&gt;&lt;Author&gt;Gu&lt;/Author&gt;&lt;Year&gt;2016&lt;/Year&gt;&lt;RecNum&gt;56&lt;/RecNum&gt;&lt;DisplayText&gt;[3]&lt;/DisplayText&gt;&lt;record&gt;&lt;rec-number&gt;56&lt;/rec-number&gt;&lt;foreign-keys&gt;&lt;key app="EN" db-id="vz0dttwfjw2er8e2er6vvaelzdpafepzed05" timestamp="1720260588"&gt;56&lt;/key&gt;&lt;/foreign-keys&gt;&lt;ref-type name="Journal Article"&gt;17&lt;/ref-type&gt;&lt;contributors&gt;&lt;authors&gt;&lt;author&gt;Gu, Bao-Xia&lt;/author&gt;&lt;author&gt;Wang, Xue&lt;/author&gt;&lt;author&gt;Yin, Bao-Li&lt;/author&gt;&lt;author&gt;Guo, Hai-Bin&lt;/author&gt;&lt;author&gt;Zhang, He-Long&lt;/author&gt;&lt;author&gt;Zhang, Shao-Di&lt;/author&gt;&lt;author&gt;Zhang, Cui-Lian %J Systems biology in reproductive medicine&lt;/author&gt;&lt;/authors&gt;&lt;/contributors&gt;&lt;titles&gt;&lt;title&gt;Abnormal expression of TLRs may play a role in lower embryo quality of women with polycystic ovary syndrome&lt;/title&gt;&lt;/titles&gt;&lt;pages&gt;353-358&lt;/pages&gt;&lt;volume&gt;62&lt;/volume&gt;&lt;number&gt;5&lt;/number&gt;&lt;dates&gt;&lt;year&gt;2016&lt;/year&gt;&lt;/dates&gt;&lt;isbn&gt;1939-6368&lt;/isbn&gt;&lt;urls&gt;&lt;/urls&gt;&lt;/record&gt;&lt;/Cite&gt;&lt;/EndNote&gt;</w:instrText>
            </w:r>
            <w:r w:rsidRPr="00B97350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B97350">
              <w:rPr>
                <w:rFonts w:ascii="Times New Roman" w:hAnsi="Times New Roman" w:cs="Times New Roman"/>
                <w:noProof/>
                <w:sz w:val="18"/>
                <w:szCs w:val="18"/>
              </w:rPr>
              <w:t>[3]</w:t>
            </w:r>
            <w:r w:rsidRPr="00B97350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AB3D2E" w14:paraId="5A3D5B9B" w14:textId="77777777" w:rsidTr="00ED2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vAlign w:val="center"/>
          </w:tcPr>
          <w:p w14:paraId="0975FDD3" w14:textId="77777777" w:rsidR="00AB3D2E" w:rsidRPr="00C83A60" w:rsidRDefault="00AB3D2E" w:rsidP="00BB26A4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E101A"/>
                <w:sz w:val="24"/>
                <w:szCs w:val="24"/>
              </w:rPr>
            </w:pPr>
            <w:r w:rsidRPr="00C83A60">
              <w:rPr>
                <w:rFonts w:ascii="Times New Roman" w:eastAsia="Times New Roman" w:hAnsi="Times New Roman" w:cs="Times New Roman"/>
                <w:i/>
                <w:iCs/>
                <w:color w:val="0E101A"/>
                <w:sz w:val="24"/>
                <w:szCs w:val="24"/>
              </w:rPr>
              <w:t>ITGB-8</w:t>
            </w:r>
          </w:p>
        </w:tc>
        <w:tc>
          <w:tcPr>
            <w:tcW w:w="1030" w:type="dxa"/>
          </w:tcPr>
          <w:p w14:paraId="0E9739B5" w14:textId="77777777" w:rsidR="00AB3D2E" w:rsidRDefault="00AB3D2E" w:rsidP="00BB26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</w:rPr>
              <w:t>Forward</w:t>
            </w:r>
          </w:p>
          <w:p w14:paraId="5A8D951E" w14:textId="77777777" w:rsidR="00AB3D2E" w:rsidRDefault="00AB3D2E" w:rsidP="00BB26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</w:rPr>
              <w:t>Reverse</w:t>
            </w:r>
          </w:p>
        </w:tc>
        <w:tc>
          <w:tcPr>
            <w:tcW w:w="3746" w:type="dxa"/>
            <w:vAlign w:val="center"/>
          </w:tcPr>
          <w:p w14:paraId="049E7ADE" w14:textId="77777777" w:rsidR="00AB3D2E" w:rsidRPr="00537BFC" w:rsidRDefault="00AB3D2E" w:rsidP="00BB26A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 w:hint="cs"/>
                <w:sz w:val="18"/>
                <w:szCs w:val="18"/>
              </w:rPr>
              <w:t>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37BFC">
              <w:rPr>
                <w:rFonts w:ascii="Times New Roman" w:hAnsi="Times New Roman" w:cs="Times New Roman"/>
                <w:sz w:val="18"/>
                <w:szCs w:val="18"/>
              </w:rPr>
              <w:t>GTGAAAGTCATATCGGATGGCG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-3´</w:t>
            </w:r>
          </w:p>
          <w:p w14:paraId="4EDC3764" w14:textId="77777777" w:rsidR="00AB3D2E" w:rsidRPr="00537BFC" w:rsidRDefault="00AB3D2E" w:rsidP="00BB26A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 w:hint="cs"/>
                <w:sz w:val="18"/>
                <w:szCs w:val="18"/>
              </w:rPr>
              <w:t>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37BFC">
              <w:rPr>
                <w:rFonts w:ascii="Times New Roman" w:hAnsi="Times New Roman" w:cs="Times New Roman"/>
                <w:sz w:val="18"/>
                <w:szCs w:val="18"/>
              </w:rPr>
              <w:t>GCTATCAAGAGCGAGATGAGACG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-3´</w:t>
            </w:r>
          </w:p>
        </w:tc>
        <w:tc>
          <w:tcPr>
            <w:tcW w:w="486" w:type="dxa"/>
            <w:vAlign w:val="center"/>
          </w:tcPr>
          <w:p w14:paraId="7145DFA0" w14:textId="77777777" w:rsidR="00AB3D2E" w:rsidRDefault="00AB3D2E" w:rsidP="00BB26A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3388" w:type="dxa"/>
            <w:gridSpan w:val="3"/>
            <w:vAlign w:val="center"/>
          </w:tcPr>
          <w:p w14:paraId="20A0F756" w14:textId="77777777" w:rsidR="00AB3D2E" w:rsidRDefault="00B97350" w:rsidP="00B9735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&lt;EndNote&gt;&lt;Cite&gt;&lt;Author&gt;Ghavami&lt;/Author&gt;&lt;Year&gt;2020&lt;/Year&gt;&lt;RecNum&gt;23&lt;/RecNum&gt;&lt;DisplayText&gt;[4]&lt;/DisplayText&gt;&lt;record&gt;&lt;rec-number&gt;23&lt;/rec-number&gt;&lt;foreign-keys&gt;&lt;key app="EN" db-id="vz0dttwfjw2er8e2er6vvaelzdpafepzed05" timestamp="1719569648"&gt;23&lt;/key&gt;&lt;/foreign-keys&gt;&lt;ref-type name="Journal Article"&gt;17&lt;/ref-type&gt;&lt;contributors&gt;&lt;authors&gt;&lt;author&gt;Ghavami, Shaghayegh Baradaran&lt;/author&gt;&lt;author&gt;Yadegar, Abbas&lt;/author&gt;&lt;author&gt;Aghdaei, Hamid Asadzadeh&lt;/author&gt;&lt;author&gt;Sorrentino, Dario&lt;/author&gt;&lt;author&gt;Farmani, Maryam&lt;/author&gt;&lt;author&gt;Mir, Adil Shamim&lt;/author&gt;&lt;author&gt;Azimirad, Masoumeh&lt;/author&gt;&lt;author&gt;Balaii, Hedieh&lt;/author&gt;&lt;author&gt;Shahrokh, Shabnam&lt;/author&gt;&lt;author&gt;Zali, Mohammad Reza %J International journal of molecular sciences&lt;/author&gt;&lt;/authors&gt;&lt;/contributors&gt;&lt;titles&gt;&lt;title&gt;Immunomodulation and generation of tolerogenic dendritic cells by probiotic bacteria in patients with inflammatory bowel disease&lt;/title&gt;&lt;/titles&gt;&lt;pages&gt;6266&lt;/pages&gt;&lt;volume&gt;21&lt;/volume&gt;&lt;number&gt;17&lt;/number&gt;&lt;dates&gt;&lt;year&gt;2020&lt;/year&gt;&lt;/dates&gt;&lt;isbn&gt;1422-0067&lt;/isbn&gt;&lt;urls&gt;&lt;/urls&gt;&lt;/record&gt;&lt;/Cite&gt;&lt;/EndNote&gt;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[4]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  <w:tr w:rsidR="00AB3D2E" w14:paraId="74D8E91A" w14:textId="77777777" w:rsidTr="00AC4F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0" w:type="dxa"/>
            <w:vAlign w:val="center"/>
          </w:tcPr>
          <w:p w14:paraId="7EF04071" w14:textId="77777777" w:rsidR="00AB3D2E" w:rsidRPr="00C83A60" w:rsidRDefault="00AB3D2E" w:rsidP="00AC4F8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E101A"/>
                <w:sz w:val="24"/>
                <w:szCs w:val="24"/>
              </w:rPr>
            </w:pPr>
            <w:r w:rsidRPr="00C83A60">
              <w:rPr>
                <w:rFonts w:ascii="Times New Roman" w:eastAsia="Times New Roman" w:hAnsi="Times New Roman" w:cs="Times New Roman"/>
                <w:i/>
                <w:iCs/>
                <w:color w:val="0E101A"/>
                <w:sz w:val="24"/>
                <w:szCs w:val="24"/>
              </w:rPr>
              <w:t>B2M</w:t>
            </w:r>
          </w:p>
        </w:tc>
        <w:tc>
          <w:tcPr>
            <w:tcW w:w="1030" w:type="dxa"/>
          </w:tcPr>
          <w:p w14:paraId="61E527E9" w14:textId="77777777" w:rsidR="00AB3D2E" w:rsidRDefault="00AB3D2E" w:rsidP="00AC4F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</w:rPr>
              <w:t>Forward</w:t>
            </w:r>
          </w:p>
          <w:p w14:paraId="2F38EF09" w14:textId="77777777" w:rsidR="00AB3D2E" w:rsidRDefault="00AB3D2E" w:rsidP="00AC4F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</w:rPr>
              <w:t>Reverse</w:t>
            </w:r>
          </w:p>
        </w:tc>
        <w:tc>
          <w:tcPr>
            <w:tcW w:w="3746" w:type="dxa"/>
            <w:vAlign w:val="center"/>
          </w:tcPr>
          <w:p w14:paraId="3636FA7F" w14:textId="77777777" w:rsidR="00AB3D2E" w:rsidRPr="00DA70FA" w:rsidRDefault="00AB3D2E" w:rsidP="00AC4F8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 w:hint="cs"/>
                <w:sz w:val="18"/>
                <w:szCs w:val="18"/>
              </w:rPr>
              <w:t>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A70FA">
              <w:rPr>
                <w:rFonts w:ascii="Times New Roman" w:hAnsi="Times New Roman" w:cs="Times New Roman"/>
                <w:sz w:val="18"/>
                <w:szCs w:val="18"/>
              </w:rPr>
              <w:t>TGCTGTCTCCATGTTTGATGTATCT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-3´</w:t>
            </w:r>
          </w:p>
          <w:p w14:paraId="7634A5E3" w14:textId="77777777" w:rsidR="00AB3D2E" w:rsidRDefault="00AB3D2E" w:rsidP="00AC4F8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 w:hint="cs"/>
                <w:sz w:val="18"/>
                <w:szCs w:val="18"/>
              </w:rPr>
              <w:t>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A70FA">
              <w:rPr>
                <w:rFonts w:ascii="Times New Roman" w:hAnsi="Times New Roman" w:cs="Times New Roman"/>
                <w:sz w:val="18"/>
                <w:szCs w:val="18"/>
              </w:rPr>
              <w:t>TCTCTGCTCCCCACCTCTAAGT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-3´</w:t>
            </w:r>
          </w:p>
        </w:tc>
        <w:tc>
          <w:tcPr>
            <w:tcW w:w="486" w:type="dxa"/>
            <w:vAlign w:val="center"/>
          </w:tcPr>
          <w:p w14:paraId="5CCCE7CE" w14:textId="77777777" w:rsidR="00AB3D2E" w:rsidRDefault="00AB3D2E" w:rsidP="00AC4F8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3388" w:type="dxa"/>
            <w:gridSpan w:val="3"/>
            <w:vAlign w:val="center"/>
          </w:tcPr>
          <w:p w14:paraId="3BE5AADE" w14:textId="77777777" w:rsidR="00AB3D2E" w:rsidRPr="002D4177" w:rsidRDefault="00F91320" w:rsidP="00F9132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D120C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4D120C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&lt;EndNote&gt;&lt;Cite&gt;&lt;Author&gt;Yan&lt;/Author&gt;&lt;Year&gt;2017&lt;/Year&gt;&lt;RecNum&gt;57&lt;/RecNum&gt;&lt;DisplayText&gt;[5]&lt;/DisplayText&gt;&lt;record&gt;&lt;rec-number&gt;57&lt;/rec-number&gt;&lt;foreign-keys&gt;&lt;key app="EN" db-id="vz0dttwfjw2er8e2er6vvaelzdpafepzed05" timestamp="1720260750"&gt;57&lt;/key&gt;&lt;/foreign-keys&gt;&lt;ref-type name="Journal Article"&gt;17&lt;/ref-type&gt;&lt;contributors&gt;&lt;authors&gt;&lt;author&gt;Yan, Deng&lt;/author&gt;&lt;author&gt;Yi, Song&lt;/author&gt;&lt;author&gt;Chiu, Wang Chi&lt;/author&gt;&lt;author&gt;Qin, Liu Gui&lt;/author&gt;&lt;author&gt;Kin, Wong Hoi&lt;/author&gt;&lt;author&gt;Hung, Chung Tony Kwok&lt;/author&gt;&lt;author&gt;Linxiao, Han&lt;/author&gt;&lt;author&gt;Wai, Choy Kwong&lt;/author&gt;&lt;author&gt;Yi, Sui&lt;/author&gt;&lt;author&gt;Tao, Yang %J Oncotarget&lt;/author&gt;&lt;/authors&gt;&lt;/contributors&gt;&lt;titles&gt;&lt;title&gt;Integrated analysis of chromosome copy number variation and gene expression in cervical carcinoma&lt;/title&gt;&lt;/titles&gt;&lt;pages&gt;108912&lt;/pages&gt;&lt;volume&gt;8&lt;/volume&gt;&lt;number&gt;65&lt;/number&gt;&lt;dates&gt;&lt;year&gt;2017&lt;/year&gt;&lt;/dates&gt;&lt;urls&gt;&lt;/urls&gt;&lt;/record&gt;&lt;/Cite&gt;&lt;/EndNote&gt;</w:instrText>
            </w:r>
            <w:r w:rsidRPr="004D120C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4D120C">
              <w:rPr>
                <w:rFonts w:ascii="Times New Roman" w:hAnsi="Times New Roman" w:cs="Times New Roman"/>
                <w:noProof/>
                <w:sz w:val="18"/>
                <w:szCs w:val="18"/>
              </w:rPr>
              <w:t>[5]</w:t>
            </w:r>
            <w:r w:rsidRPr="004D120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</w:tr>
    </w:tbl>
    <w:p w14:paraId="40737E36" w14:textId="77777777" w:rsidR="00AB3D2E" w:rsidRPr="00AB3D2E" w:rsidRDefault="00AB3D2E" w:rsidP="00AB3D2E">
      <w:pPr>
        <w:tabs>
          <w:tab w:val="left" w:pos="1284"/>
        </w:tabs>
        <w:jc w:val="center"/>
      </w:pPr>
    </w:p>
    <w:p w14:paraId="29BDA985" w14:textId="77777777" w:rsidR="00AB3D2E" w:rsidRPr="00AB3D2E" w:rsidRDefault="00AB3D2E" w:rsidP="00AB3D2E"/>
    <w:p w14:paraId="6C1D2D3A" w14:textId="77777777" w:rsidR="00B97350" w:rsidRDefault="00B97350" w:rsidP="00AB3D2E"/>
    <w:p w14:paraId="365D0913" w14:textId="77777777" w:rsidR="00B97350" w:rsidRDefault="00B97350" w:rsidP="00AB3D2E"/>
    <w:p w14:paraId="2A31F33F" w14:textId="77777777" w:rsidR="00F91320" w:rsidRPr="00F91320" w:rsidRDefault="00B97350" w:rsidP="00F91320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F91320" w:rsidRPr="00F91320">
        <w:t>1.</w:t>
      </w:r>
      <w:r w:rsidR="00F91320" w:rsidRPr="00F91320">
        <w:tab/>
        <w:t xml:space="preserve">Wang, S., et al., </w:t>
      </w:r>
      <w:r w:rsidR="00F91320" w:rsidRPr="00F91320">
        <w:rPr>
          <w:i/>
        </w:rPr>
        <w:t>Lipoteichoic acid from an Enterococcus faecalis clinical strain promotes TNF-α expression through the NF-κB and p38 MAPK signaling pathways in differentiated THP-1 macrophages.</w:t>
      </w:r>
      <w:r w:rsidR="00F91320" w:rsidRPr="00F91320">
        <w:t xml:space="preserve"> 2015. </w:t>
      </w:r>
      <w:r w:rsidR="00F91320" w:rsidRPr="00F91320">
        <w:rPr>
          <w:b/>
        </w:rPr>
        <w:t>3</w:t>
      </w:r>
      <w:r w:rsidR="00F91320" w:rsidRPr="00F91320">
        <w:t>(5): p. 697-702.</w:t>
      </w:r>
    </w:p>
    <w:p w14:paraId="594D8D74" w14:textId="77777777" w:rsidR="00F91320" w:rsidRPr="00F91320" w:rsidRDefault="00F91320" w:rsidP="00F91320">
      <w:pPr>
        <w:pStyle w:val="EndNoteBibliography"/>
        <w:spacing w:after="0"/>
        <w:ind w:left="720" w:hanging="720"/>
      </w:pPr>
      <w:r w:rsidRPr="00F91320">
        <w:t>2.</w:t>
      </w:r>
      <w:r w:rsidRPr="00F91320">
        <w:tab/>
        <w:t xml:space="preserve">Zhao, L., et al., </w:t>
      </w:r>
      <w:r w:rsidRPr="00F91320">
        <w:rPr>
          <w:i/>
        </w:rPr>
        <w:t>Inhibition of HIF-1a-mediated TLR4 activation decreases apoptosis and promotes angiogenesis of placental microvascular endothelial cells during severe pre-eclampsia pathogenesis.</w:t>
      </w:r>
      <w:r w:rsidRPr="00F91320">
        <w:t xml:space="preserve"> 2019. </w:t>
      </w:r>
      <w:r w:rsidRPr="00F91320">
        <w:rPr>
          <w:b/>
        </w:rPr>
        <w:t>83</w:t>
      </w:r>
      <w:r w:rsidRPr="00F91320">
        <w:t>: p. 8-16.</w:t>
      </w:r>
    </w:p>
    <w:p w14:paraId="0F38859E" w14:textId="77777777" w:rsidR="00F91320" w:rsidRPr="00F91320" w:rsidRDefault="00F91320" w:rsidP="00F91320">
      <w:pPr>
        <w:pStyle w:val="EndNoteBibliography"/>
        <w:spacing w:after="0"/>
        <w:ind w:left="720" w:hanging="720"/>
      </w:pPr>
      <w:r w:rsidRPr="00F91320">
        <w:t>3.</w:t>
      </w:r>
      <w:r w:rsidRPr="00F91320">
        <w:tab/>
        <w:t xml:space="preserve">Gu, B.-X., et al., </w:t>
      </w:r>
      <w:r w:rsidRPr="00F91320">
        <w:rPr>
          <w:i/>
        </w:rPr>
        <w:t>Abnormal expression of TLRs may play a role in lower embryo quality of women with polycystic ovary syndrome.</w:t>
      </w:r>
      <w:r w:rsidRPr="00F91320">
        <w:t xml:space="preserve"> 2016. </w:t>
      </w:r>
      <w:r w:rsidRPr="00F91320">
        <w:rPr>
          <w:b/>
        </w:rPr>
        <w:t>62</w:t>
      </w:r>
      <w:r w:rsidRPr="00F91320">
        <w:t>(5): p. 353-358.</w:t>
      </w:r>
    </w:p>
    <w:p w14:paraId="066AB626" w14:textId="77777777" w:rsidR="00F91320" w:rsidRPr="00F91320" w:rsidRDefault="00F91320" w:rsidP="00F91320">
      <w:pPr>
        <w:pStyle w:val="EndNoteBibliography"/>
        <w:spacing w:after="0"/>
        <w:ind w:left="720" w:hanging="720"/>
      </w:pPr>
      <w:r w:rsidRPr="00F91320">
        <w:t>4.</w:t>
      </w:r>
      <w:r w:rsidRPr="00F91320">
        <w:tab/>
        <w:t xml:space="preserve">Ghavami, S.B., et al., </w:t>
      </w:r>
      <w:r w:rsidRPr="00F91320">
        <w:rPr>
          <w:i/>
        </w:rPr>
        <w:t>Immunomodulation and generation of tolerogenic dendritic cells by probiotic bacteria in patients with inflammatory bowel disease.</w:t>
      </w:r>
      <w:r w:rsidRPr="00F91320">
        <w:t xml:space="preserve"> 2020. </w:t>
      </w:r>
      <w:r w:rsidRPr="00F91320">
        <w:rPr>
          <w:b/>
        </w:rPr>
        <w:t>21</w:t>
      </w:r>
      <w:r w:rsidRPr="00F91320">
        <w:t>(17): p. 6266.</w:t>
      </w:r>
    </w:p>
    <w:p w14:paraId="46DA88AD" w14:textId="77777777" w:rsidR="00F91320" w:rsidRPr="00F91320" w:rsidRDefault="00F91320" w:rsidP="00F91320">
      <w:pPr>
        <w:pStyle w:val="EndNoteBibliography"/>
        <w:ind w:left="720" w:hanging="720"/>
      </w:pPr>
      <w:r w:rsidRPr="00F91320">
        <w:t>5.</w:t>
      </w:r>
      <w:r w:rsidRPr="00F91320">
        <w:tab/>
        <w:t xml:space="preserve">Yan, D., et al., </w:t>
      </w:r>
      <w:r w:rsidRPr="00F91320">
        <w:rPr>
          <w:i/>
        </w:rPr>
        <w:t>Integrated analysis of chromosome copy number variation and gene expression in cervical carcinoma.</w:t>
      </w:r>
      <w:r w:rsidRPr="00F91320">
        <w:t xml:space="preserve"> 2017. </w:t>
      </w:r>
      <w:r w:rsidRPr="00F91320">
        <w:rPr>
          <w:b/>
        </w:rPr>
        <w:t>8</w:t>
      </w:r>
      <w:r w:rsidRPr="00F91320">
        <w:t>(65): p. 108912.</w:t>
      </w:r>
    </w:p>
    <w:p w14:paraId="48BA2984" w14:textId="77777777" w:rsidR="007C5671" w:rsidRPr="00AB3D2E" w:rsidRDefault="00B97350" w:rsidP="00F91320">
      <w:r>
        <w:fldChar w:fldCharType="end"/>
      </w:r>
    </w:p>
    <w:sectPr w:rsidR="007C5671" w:rsidRPr="00AB3D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z0dttwfjw2er8e2er6vvaelzdpafepzed05&quot;&gt;DC &amp;amp; Akk &amp;amp; Bif&lt;record-ids&gt;&lt;item&gt;23&lt;/item&gt;&lt;item&gt;54&lt;/item&gt;&lt;item&gt;55&lt;/item&gt;&lt;item&gt;56&lt;/item&gt;&lt;item&gt;57&lt;/item&gt;&lt;/record-ids&gt;&lt;/item&gt;&lt;/Libraries&gt;"/>
  </w:docVars>
  <w:rsids>
    <w:rsidRoot w:val="004E10B4"/>
    <w:rsid w:val="000A2FD0"/>
    <w:rsid w:val="000D29C1"/>
    <w:rsid w:val="002A2ADD"/>
    <w:rsid w:val="002D3132"/>
    <w:rsid w:val="004B3D60"/>
    <w:rsid w:val="004D120C"/>
    <w:rsid w:val="004E10B4"/>
    <w:rsid w:val="00531D23"/>
    <w:rsid w:val="007C5671"/>
    <w:rsid w:val="00907CD0"/>
    <w:rsid w:val="009312EE"/>
    <w:rsid w:val="00A55923"/>
    <w:rsid w:val="00A678B6"/>
    <w:rsid w:val="00AB3D2E"/>
    <w:rsid w:val="00AC4F88"/>
    <w:rsid w:val="00B97350"/>
    <w:rsid w:val="00BB26A4"/>
    <w:rsid w:val="00C83A60"/>
    <w:rsid w:val="00CE6752"/>
    <w:rsid w:val="00ED2E76"/>
    <w:rsid w:val="00F14DB8"/>
    <w:rsid w:val="00F247C8"/>
    <w:rsid w:val="00F9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09A9A"/>
  <w15:chartTrackingRefBased/>
  <w15:docId w15:val="{A8BCBC73-5482-483B-80E1-C37E5D506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0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10B4"/>
    <w:pPr>
      <w:ind w:left="720"/>
      <w:contextualSpacing/>
    </w:pPr>
  </w:style>
  <w:style w:type="table" w:styleId="PlainTable5">
    <w:name w:val="Plain Table 5"/>
    <w:basedOn w:val="TableNormal"/>
    <w:uiPriority w:val="45"/>
    <w:rsid w:val="004E10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9312E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B97350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97350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B97350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97350"/>
    <w:rPr>
      <w:rFonts w:ascii="Calibri" w:hAnsi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Majid</dc:creator>
  <cp:keywords/>
  <dc:description/>
  <cp:lastModifiedBy>Maryam Farmani</cp:lastModifiedBy>
  <cp:revision>20</cp:revision>
  <dcterms:created xsi:type="dcterms:W3CDTF">2023-06-05T14:16:00Z</dcterms:created>
  <dcterms:modified xsi:type="dcterms:W3CDTF">2025-08-21T14:29:00Z</dcterms:modified>
</cp:coreProperties>
</file>