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F7" w:rsidRDefault="00D87AF7" w:rsidP="005B567D">
      <w:pPr>
        <w:pStyle w:val="TableTitle"/>
      </w:pPr>
      <w:r>
        <w:t>STROBE Statement—checklist of items that should be included in reports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Pr>
                <w:bCs/>
                <w:sz w:val="20"/>
              </w:rPr>
              <w:t>Item No.</w:t>
            </w:r>
          </w:p>
        </w:tc>
        <w:tc>
          <w:tcPr>
            <w:tcW w:w="8031" w:type="dxa"/>
            <w:vAlign w:val="bottom"/>
          </w:tcPr>
          <w:p w:rsidR="00191A23" w:rsidRPr="0022554A" w:rsidRDefault="00191A23" w:rsidP="0022554A">
            <w:pPr>
              <w:pStyle w:val="TableHeader"/>
              <w:tabs>
                <w:tab w:val="left" w:pos="5400"/>
              </w:tabs>
              <w:jc w:val="center"/>
              <w:rPr>
                <w:bCs/>
                <w:sz w:val="20"/>
              </w:rPr>
            </w:pPr>
            <w:r>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Pr>
                <w:sz w:val="20"/>
              </w:rPr>
              <w:t>1</w:t>
            </w:r>
          </w:p>
        </w:tc>
        <w:tc>
          <w:tcPr>
            <w:tcW w:w="8031" w:type="dxa"/>
          </w:tcPr>
          <w:p w:rsidR="00191A23" w:rsidRPr="0022554A" w:rsidRDefault="00191A23" w:rsidP="0022554A">
            <w:pPr>
              <w:tabs>
                <w:tab w:val="left" w:pos="5400"/>
              </w:tabs>
              <w:rPr>
                <w:sz w:val="20"/>
              </w:rPr>
            </w:pPr>
            <w:r>
              <w:rPr>
                <w:sz w:val="20"/>
              </w:rPr>
              <w:t>(</w:t>
            </w:r>
            <w:r>
              <w:rPr>
                <w:i/>
                <w:sz w:val="20"/>
              </w:rPr>
              <w:t>a</w:t>
            </w:r>
            <w:r>
              <w:rPr>
                <w:sz w:val="20"/>
              </w:rPr>
              <w:t>) Indicate the study’s design with a commonly used term in the title or the abstract</w:t>
            </w:r>
          </w:p>
        </w:tc>
        <w:tc>
          <w:tcPr>
            <w:tcW w:w="1559" w:type="dxa"/>
          </w:tcPr>
          <w:p w:rsidR="00191A23" w:rsidRPr="0022554A" w:rsidRDefault="00191A23" w:rsidP="0022554A">
            <w:pPr>
              <w:tabs>
                <w:tab w:val="left" w:pos="5400"/>
              </w:tabs>
              <w:rPr>
                <w:sz w:val="20"/>
              </w:rPr>
            </w:pPr>
            <w:r>
              <w:rPr>
                <w:sz w:val="20"/>
              </w:rPr>
              <w:t xml:space="preserve">1</w:t>
            </w:r>
          </w:p>
        </w:tc>
        <w:tc>
          <w:tcPr>
            <w:tcW w:w="2835" w:type="dxa"/>
          </w:tcPr>
          <w:p w:rsidR="00191A23" w:rsidRPr="0022554A" w:rsidRDefault="00191A23" w:rsidP="0022554A">
            <w:pPr>
              <w:tabs>
                <w:tab w:val="left" w:pos="5400"/>
              </w:tabs>
              <w:rPr>
                <w:sz w:val="20"/>
              </w:rPr>
            </w:pPr>
            <w:r>
              <w:rPr>
                <w:sz w:val="20"/>
              </w:rPr>
              <w:t xml:space="preserve">Title: “Deep versus light sedation and 28-day mortality in mechanically ventilated sepsis: a causal analysis of two intensive care databases.” The retrospective cohort design is also stated in the abstract.</w:t>
            </w: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559" w:type="dxa"/>
          </w:tcPr>
          <w:p w:rsidR="00191A23" w:rsidRPr="0022554A" w:rsidRDefault="00191A23" w:rsidP="0022554A">
            <w:pPr>
              <w:tabs>
                <w:tab w:val="left" w:pos="5400"/>
              </w:tabs>
              <w:rPr>
                <w:sz w:val="20"/>
              </w:rPr>
            </w:pPr>
            <w:r>
              <w:rPr>
                <w:sz w:val="20"/>
              </w:rPr>
              <w:t xml:space="preserve">1</w:t>
            </w:r>
          </w:p>
        </w:tc>
        <w:tc>
          <w:tcPr>
            <w:tcW w:w="2835" w:type="dxa"/>
          </w:tcPr>
          <w:p w:rsidR="00191A23" w:rsidRPr="0022554A" w:rsidRDefault="00191A23" w:rsidP="0022554A">
            <w:pPr>
              <w:tabs>
                <w:tab w:val="left" w:pos="5400"/>
              </w:tabs>
              <w:rPr>
                <w:sz w:val="20"/>
              </w:rPr>
            </w:pPr>
            <w:r>
              <w:rPr>
                <w:sz w:val="20"/>
              </w:rPr>
              <w:t xml:space="preserve">The abstract summarises the objective, the two databases, the exposure and outcome definitions, the IPTW analysis with sensitivity analyses, and the principal results, including the validation cohort.</w:t>
            </w: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Pr>
                <w:bCs/>
                <w:sz w:val="20"/>
              </w:rPr>
              <w:t>Background/</w:t>
            </w:r>
            <w:bookmarkStart w:id="17" w:name="bold9"/>
            <w:bookmarkStart w:id="18" w:name="italic10"/>
            <w:bookmarkEnd w:id="15"/>
            <w:bookmarkEnd w:id="16"/>
            <w:r>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Pr>
                <w:sz w:val="20"/>
              </w:rPr>
              <w:t>2</w:t>
            </w:r>
          </w:p>
        </w:tc>
        <w:tc>
          <w:tcPr>
            <w:tcW w:w="8031" w:type="dxa"/>
          </w:tcPr>
          <w:p w:rsidR="00191A23" w:rsidRPr="0022554A" w:rsidRDefault="00191A23" w:rsidP="0022554A">
            <w:pPr>
              <w:tabs>
                <w:tab w:val="left" w:pos="5400"/>
              </w:tabs>
              <w:rPr>
                <w:sz w:val="20"/>
              </w:rPr>
            </w:pPr>
            <w:r>
              <w:rPr>
                <w:sz w:val="20"/>
              </w:rPr>
              <w:t>Explain the scientific background and rationale for the investigation being reported</w:t>
            </w:r>
          </w:p>
        </w:tc>
        <w:tc>
          <w:tcPr>
            <w:tcW w:w="1559" w:type="dxa"/>
          </w:tcPr>
          <w:p w:rsidR="00191A23" w:rsidRPr="0022554A" w:rsidRDefault="00191A23" w:rsidP="0022554A">
            <w:pPr>
              <w:tabs>
                <w:tab w:val="left" w:pos="5400"/>
              </w:tabs>
              <w:rPr>
                <w:sz w:val="20"/>
              </w:rPr>
            </w:pPr>
            <w:r>
              <w:rPr>
                <w:sz w:val="20"/>
              </w:rPr>
              <w:t xml:space="preserve">2</w:t>
            </w:r>
          </w:p>
        </w:tc>
        <w:tc>
          <w:tcPr>
            <w:tcW w:w="2835" w:type="dxa"/>
          </w:tcPr>
          <w:p w:rsidR="00191A23" w:rsidRPr="0022554A" w:rsidRDefault="00191A23" w:rsidP="0022554A">
            <w:pPr>
              <w:tabs>
                <w:tab w:val="left" w:pos="5400"/>
              </w:tabs>
              <w:rPr>
                <w:sz w:val="20"/>
              </w:rPr>
            </w:pPr>
            <w:r>
              <w:rPr>
                <w:sz w:val="20"/>
              </w:rPr>
              <w:t xml:space="preserve">Introduction: the background on sedation depth in critically ill patients, the convergence of evidence towards lighter sedation, and the specific uncertainty in sepsis are explained, with reference to guidelines and prior cohorts.</w:t>
            </w: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Pr>
                <w:bCs/>
                <w:sz w:val="20"/>
              </w:rPr>
              <w:t>Objectives</w:t>
            </w:r>
          </w:p>
        </w:tc>
        <w:tc>
          <w:tcPr>
            <w:tcW w:w="616" w:type="dxa"/>
          </w:tcPr>
          <w:p w:rsidR="00191A23" w:rsidRPr="0022554A" w:rsidRDefault="00191A23" w:rsidP="0022554A">
            <w:pPr>
              <w:tabs>
                <w:tab w:val="left" w:pos="5400"/>
              </w:tabs>
              <w:jc w:val="center"/>
              <w:rPr>
                <w:sz w:val="20"/>
              </w:rPr>
            </w:pPr>
            <w:r>
              <w:rPr>
                <w:sz w:val="20"/>
              </w:rPr>
              <w:t>3</w:t>
            </w:r>
          </w:p>
        </w:tc>
        <w:tc>
          <w:tcPr>
            <w:tcW w:w="8031" w:type="dxa"/>
          </w:tcPr>
          <w:p w:rsidR="00191A23" w:rsidRPr="0022554A" w:rsidRDefault="00191A23" w:rsidP="0022554A">
            <w:pPr>
              <w:tabs>
                <w:tab w:val="left" w:pos="5400"/>
              </w:tabs>
              <w:rPr>
                <w:sz w:val="20"/>
              </w:rPr>
            </w:pPr>
            <w:r>
              <w:rPr>
                <w:sz w:val="20"/>
              </w:rPr>
              <w:t>State specific objectives, including any prespecified hypotheses</w:t>
            </w:r>
          </w:p>
        </w:tc>
        <w:tc>
          <w:tcPr>
            <w:tcW w:w="1559" w:type="dxa"/>
          </w:tcPr>
          <w:p w:rsidR="00191A23" w:rsidRPr="0022554A" w:rsidRDefault="00191A23" w:rsidP="0022554A">
            <w:pPr>
              <w:tabs>
                <w:tab w:val="left" w:pos="5400"/>
              </w:tabs>
              <w:rPr>
                <w:sz w:val="20"/>
              </w:rPr>
            </w:pPr>
            <w:r>
              <w:rPr>
                <w:sz w:val="20"/>
              </w:rPr>
              <w:t xml:space="preserve">2–3</w:t>
            </w:r>
          </w:p>
        </w:tc>
        <w:tc>
          <w:tcPr>
            <w:tcW w:w="2835" w:type="dxa"/>
          </w:tcPr>
          <w:p w:rsidR="00191A23" w:rsidRPr="0022554A" w:rsidRDefault="00191A23" w:rsidP="0022554A">
            <w:pPr>
              <w:tabs>
                <w:tab w:val="left" w:pos="5400"/>
              </w:tabs>
              <w:rPr>
                <w:sz w:val="20"/>
              </w:rPr>
            </w:pPr>
            <w:r>
              <w:rPr>
                <w:sz w:val="20"/>
              </w:rPr>
              <w:t xml:space="preserve">Introduction (final paragraph): the aim was to estimate the effect of deep versus light sedation during the first 48 h of invasive ventilation on 28-day mortality, and on delirium and ICU and in-hospital mortality, and to test replication in an independent cohort.</w:t>
            </w: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Pr>
                <w:bCs/>
                <w:sz w:val="20"/>
              </w:rPr>
              <w:t>Study design</w:t>
            </w:r>
          </w:p>
        </w:tc>
        <w:tc>
          <w:tcPr>
            <w:tcW w:w="616" w:type="dxa"/>
          </w:tcPr>
          <w:p w:rsidR="00191A23" w:rsidRPr="0022554A" w:rsidRDefault="00191A23" w:rsidP="0022554A">
            <w:pPr>
              <w:tabs>
                <w:tab w:val="left" w:pos="5400"/>
              </w:tabs>
              <w:jc w:val="center"/>
              <w:rPr>
                <w:sz w:val="20"/>
              </w:rPr>
            </w:pPr>
            <w:r>
              <w:rPr>
                <w:sz w:val="20"/>
              </w:rPr>
              <w:t>4</w:t>
            </w:r>
          </w:p>
        </w:tc>
        <w:tc>
          <w:tcPr>
            <w:tcW w:w="8031" w:type="dxa"/>
          </w:tcPr>
          <w:p w:rsidR="00191A23" w:rsidRPr="0022554A" w:rsidRDefault="00191A23" w:rsidP="0022554A">
            <w:pPr>
              <w:tabs>
                <w:tab w:val="left" w:pos="5400"/>
              </w:tabs>
              <w:rPr>
                <w:sz w:val="20"/>
              </w:rPr>
            </w:pPr>
            <w:r>
              <w:rPr>
                <w:sz w:val="20"/>
              </w:rPr>
              <w:t>Present key elements of study design early in the paper</w:t>
            </w:r>
          </w:p>
        </w:tc>
        <w:tc>
          <w:tcPr>
            <w:tcW w:w="1559" w:type="dxa"/>
          </w:tcPr>
          <w:p w:rsidR="00191A23" w:rsidRPr="0022554A" w:rsidRDefault="00191A23" w:rsidP="0022554A">
            <w:pPr>
              <w:tabs>
                <w:tab w:val="left" w:pos="5400"/>
              </w:tabs>
              <w:rPr>
                <w:sz w:val="20"/>
              </w:rPr>
            </w:pPr>
            <w:r>
              <w:rPr>
                <w:sz w:val="20"/>
              </w:rPr>
              <w:t xml:space="preserve">4</w:t>
            </w:r>
          </w:p>
        </w:tc>
        <w:tc>
          <w:tcPr>
            <w:tcW w:w="2835" w:type="dxa"/>
          </w:tcPr>
          <w:p w:rsidR="00191A23" w:rsidRPr="0022554A" w:rsidRDefault="00191A23" w:rsidP="0022554A">
            <w:pPr>
              <w:tabs>
                <w:tab w:val="left" w:pos="5400"/>
              </w:tabs>
              <w:rPr>
                <w:sz w:val="20"/>
              </w:rPr>
            </w:pPr>
            <w:r>
              <w:rPr>
                <w:sz w:val="20"/>
              </w:rPr>
              <w:t xml:space="preserve">Methods, “Study design and data sources”: a retrospective cohort study informed by the principles of the target trial emulation framework, structured around eligibility, treatment-strategy definition, time zero, and outcome assessment.</w:t>
            </w: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Pr>
                <w:bCs/>
                <w:sz w:val="20"/>
              </w:rPr>
              <w:t>Setting</w:t>
            </w:r>
          </w:p>
        </w:tc>
        <w:tc>
          <w:tcPr>
            <w:tcW w:w="616" w:type="dxa"/>
          </w:tcPr>
          <w:p w:rsidR="00191A23" w:rsidRPr="0022554A" w:rsidRDefault="00191A23" w:rsidP="0022554A">
            <w:pPr>
              <w:tabs>
                <w:tab w:val="left" w:pos="5400"/>
              </w:tabs>
              <w:jc w:val="center"/>
              <w:rPr>
                <w:sz w:val="20"/>
              </w:rPr>
            </w:pPr>
            <w:r>
              <w:rPr>
                <w:sz w:val="20"/>
              </w:rPr>
              <w:t>5</w:t>
            </w:r>
          </w:p>
        </w:tc>
        <w:tc>
          <w:tcPr>
            <w:tcW w:w="8031" w:type="dxa"/>
          </w:tcPr>
          <w:p w:rsidR="00191A23" w:rsidRPr="0022554A" w:rsidRDefault="00191A23" w:rsidP="0022554A">
            <w:pPr>
              <w:tabs>
                <w:tab w:val="left" w:pos="5400"/>
              </w:tabs>
              <w:rPr>
                <w:sz w:val="20"/>
              </w:rPr>
            </w:pPr>
            <w:r>
              <w:rPr>
                <w:sz w:val="20"/>
              </w:rPr>
              <w:t>Describe the setting, locations, and relevant dates, including periods of recruitment, exposure, follow-up, and data collection</w:t>
            </w:r>
          </w:p>
        </w:tc>
        <w:tc>
          <w:tcPr>
            <w:tcW w:w="1559" w:type="dxa"/>
          </w:tcPr>
          <w:p w:rsidR="00191A23" w:rsidRPr="0022554A" w:rsidRDefault="00191A23" w:rsidP="0022554A">
            <w:pPr>
              <w:tabs>
                <w:tab w:val="left" w:pos="5400"/>
              </w:tabs>
              <w:rPr>
                <w:sz w:val="20"/>
              </w:rPr>
            </w:pPr>
            <w:r>
              <w:rPr>
                <w:sz w:val="20"/>
              </w:rPr>
              <w:t xml:space="preserve">4</w:t>
            </w:r>
          </w:p>
        </w:tc>
        <w:tc>
          <w:tcPr>
            <w:tcW w:w="2835" w:type="dxa"/>
          </w:tcPr>
          <w:p w:rsidR="00191A23" w:rsidRPr="0022554A" w:rsidRDefault="00191A23" w:rsidP="0022554A">
            <w:pPr>
              <w:tabs>
                <w:tab w:val="left" w:pos="5400"/>
              </w:tabs>
              <w:rPr>
                <w:sz w:val="20"/>
              </w:rPr>
            </w:pPr>
            <w:r>
              <w:rPr>
                <w:sz w:val="20"/>
              </w:rPr>
              <w:t xml:space="preserve">Methods, “Study design and data sources”: the primary analysis used MIMIC-IV (version 3.1), a single-centre US database; external validation used the eICU-CRD (version 2.0), a multicentre US database. Database contents and access are described.</w:t>
            </w:r>
          </w:p>
        </w:tc>
      </w:tr>
      <w:bookmarkEnd w:id="25"/>
      <w:bookmarkEnd w:id="26"/>
      <w:tr w:rsidR="00191A23" w:rsidRPr="0022554A" w:rsidTr="00E341E9">
        <w:tc>
          <w:tcPr>
            <w:tcW w:w="1951" w:type="dxa"/>
            <w:vMerge w:val="restart"/>
          </w:tcPr>
          <w:p w:rsidR="00191A23" w:rsidRPr="0022554A" w:rsidRDefault="00191A23" w:rsidP="0022554A">
            <w:pPr>
              <w:tabs>
                <w:tab w:val="left" w:pos="5400"/>
              </w:tabs>
              <w:rPr>
                <w:bCs/>
                <w:sz w:val="20"/>
              </w:rPr>
            </w:pPr>
            <w:r>
              <w:rPr>
                <w:bCs/>
                <w:sz w:val="20"/>
              </w:rPr>
              <w:t>Participants</w:t>
            </w:r>
          </w:p>
        </w:tc>
        <w:tc>
          <w:tcPr>
            <w:tcW w:w="616" w:type="dxa"/>
            <w:vMerge w:val="restart"/>
          </w:tcPr>
          <w:p w:rsidR="00191A23" w:rsidRPr="0022554A" w:rsidRDefault="00191A23" w:rsidP="0022554A">
            <w:pPr>
              <w:tabs>
                <w:tab w:val="left" w:pos="5400"/>
              </w:tabs>
              <w:jc w:val="center"/>
              <w:rPr>
                <w:sz w:val="20"/>
              </w:rPr>
            </w:pPr>
            <w:r>
              <w:rPr>
                <w:sz w:val="20"/>
              </w:rPr>
              <w:t>6</w:t>
            </w:r>
          </w:p>
        </w:tc>
        <w:tc>
          <w:tcPr>
            <w:tcW w:w="8031" w:type="dxa"/>
          </w:tcPr>
          <w:p w:rsidR="00191A23" w:rsidRPr="0022554A" w:rsidRDefault="00191A23" w:rsidP="0022554A">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rsidR="00191A23" w:rsidRPr="0022554A" w:rsidRDefault="00191A23" w:rsidP="0022554A">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rsidR="00191A23" w:rsidRPr="0022554A" w:rsidRDefault="00191A23" w:rsidP="0022554A">
            <w:pPr>
              <w:tabs>
                <w:tab w:val="left" w:pos="5400"/>
              </w:tabs>
              <w:rPr>
                <w:sz w:val="20"/>
              </w:rPr>
            </w:pPr>
            <w:r>
              <w:rPr>
                <w:i/>
                <w:sz w:val="20"/>
              </w:rPr>
              <w:t>Cross-sectional study</w:t>
            </w:r>
            <w:r>
              <w:rPr>
                <w:sz w:val="20"/>
              </w:rPr>
              <w:t>—Give the eligibility criteria, and the sources and methods of selection of participants</w:t>
            </w:r>
          </w:p>
        </w:tc>
        <w:tc>
          <w:tcPr>
            <w:tcW w:w="1559" w:type="dxa"/>
          </w:tcPr>
          <w:p w:rsidR="00191A23" w:rsidRPr="0022554A" w:rsidRDefault="00191A23" w:rsidP="0022554A">
            <w:pPr>
              <w:tabs>
                <w:tab w:val="left" w:pos="5400"/>
              </w:tabs>
              <w:rPr>
                <w:sz w:val="20"/>
              </w:rPr>
            </w:pPr>
            <w:r>
              <w:rPr>
                <w:sz w:val="20"/>
              </w:rPr>
              <w:t xml:space="preserve">4–5</w:t>
            </w:r>
          </w:p>
        </w:tc>
        <w:tc>
          <w:tcPr>
            <w:tcW w:w="2835" w:type="dxa"/>
          </w:tcPr>
          <w:p w:rsidR="00191A23" w:rsidRPr="0022554A" w:rsidRDefault="00191A23" w:rsidP="0022554A">
            <w:pPr>
              <w:tabs>
                <w:tab w:val="left" w:pos="5400"/>
              </w:tabs>
              <w:rPr>
                <w:sz w:val="20"/>
              </w:rPr>
            </w:pPr>
            <w:r>
              <w:rPr>
                <w:sz w:val="20"/>
              </w:rPr>
              <w:t xml:space="preserve">Methods, “Study population and cohort derivation”: eligible patients were adults (≥ 18 years) meeting Sepsis-3 criteria who received invasive ventilation within 24 h of ICU admission, with an ICU stay ≥ 48 h and ≥ 6 RASS assessments in the first 48 h. Exclusions and one-admission-per-patient selection are specified.</w:t>
            </w:r>
          </w:p>
        </w:tc>
      </w:tr>
      <w:tr w:rsidR="00191A23" w:rsidRPr="0022554A" w:rsidTr="00E341E9">
        <w:tc>
          <w:tcPr>
            <w:tcW w:w="1951" w:type="dxa"/>
            <w:vMerge/>
          </w:tcPr>
          <w:p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rsidR="00191A23" w:rsidRPr="0022554A" w:rsidRDefault="00191A23" w:rsidP="0022554A">
            <w:pPr>
              <w:tabs>
                <w:tab w:val="left" w:pos="5400"/>
              </w:tabs>
              <w:rPr>
                <w:i/>
                <w:sz w:val="20"/>
              </w:rPr>
            </w:pPr>
            <w:r>
              <w:rPr>
                <w:bCs/>
                <w:i/>
                <w:sz w:val="20"/>
              </w:rPr>
              <w:t>Case-control study</w:t>
            </w:r>
            <w:r>
              <w:rPr>
                <w:sz w:val="20"/>
              </w:rPr>
              <w:t>—For matched studies, give matching criteria and the number of controls per case</w:t>
            </w:r>
          </w:p>
        </w:tc>
        <w:tc>
          <w:tcPr>
            <w:tcW w:w="1559" w:type="dxa"/>
          </w:tcPr>
          <w:p w:rsidR="00191A23" w:rsidRPr="0022554A" w:rsidRDefault="00191A23" w:rsidP="0022554A">
            <w:pPr>
              <w:tabs>
                <w:tab w:val="left" w:pos="5400"/>
              </w:tabs>
              <w:rPr>
                <w:sz w:val="20"/>
              </w:rPr>
            </w:pPr>
            <w:r>
              <w:rPr>
                <w:sz w:val="20"/>
              </w:rPr>
              <w:t xml:space="preserve">7</w:t>
            </w:r>
          </w:p>
        </w:tc>
        <w:tc>
          <w:tcPr>
            <w:tcW w:w="2835" w:type="dxa"/>
          </w:tcPr>
          <w:p w:rsidR="00191A23" w:rsidRPr="0022554A" w:rsidRDefault="00191A23" w:rsidP="0022554A">
            <w:pPr>
              <w:tabs>
                <w:tab w:val="left" w:pos="5400"/>
              </w:tabs>
              <w:rPr>
                <w:sz w:val="20"/>
              </w:rPr>
            </w:pPr>
            <w:r>
              <w:rPr>
                <w:sz w:val="20"/>
              </w:rPr>
              <w:t xml:space="preserve">Methods, “Statistical analysis”: matching is not the primary design; as a sensitivity analysis, 1:1 nearest-neighbour propensity score matching without replacement was used (caliper 0.2 SD of the logit of the propensity score). Matched numbers are reported in Results and Supplementary Table S5.</w:t>
            </w:r>
          </w:p>
        </w:tc>
      </w:tr>
      <w:tr w:rsidR="00191A23" w:rsidRPr="0022554A" w:rsidTr="00E341E9">
        <w:tc>
          <w:tcPr>
            <w:tcW w:w="1951" w:type="dxa"/>
          </w:tcPr>
          <w:p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Pr>
                <w:bCs/>
                <w:sz w:val="20"/>
              </w:rPr>
              <w:t>Variables</w:t>
            </w:r>
          </w:p>
        </w:tc>
        <w:tc>
          <w:tcPr>
            <w:tcW w:w="616" w:type="dxa"/>
          </w:tcPr>
          <w:p w:rsidR="00191A23" w:rsidRPr="0022554A" w:rsidRDefault="00191A23" w:rsidP="0022554A">
            <w:pPr>
              <w:tabs>
                <w:tab w:val="left" w:pos="5400"/>
              </w:tabs>
              <w:jc w:val="center"/>
              <w:rPr>
                <w:sz w:val="20"/>
              </w:rPr>
            </w:pPr>
            <w:r>
              <w:rPr>
                <w:sz w:val="20"/>
              </w:rPr>
              <w:t>7</w:t>
            </w:r>
          </w:p>
        </w:tc>
        <w:tc>
          <w:tcPr>
            <w:tcW w:w="8031" w:type="dxa"/>
          </w:tcPr>
          <w:p w:rsidR="00191A23" w:rsidRPr="0022554A" w:rsidRDefault="00191A23" w:rsidP="0022554A">
            <w:pPr>
              <w:tabs>
                <w:tab w:val="left" w:pos="5400"/>
              </w:tabs>
              <w:rPr>
                <w:sz w:val="20"/>
              </w:rPr>
            </w:pPr>
            <w:r>
              <w:rPr>
                <w:sz w:val="20"/>
              </w:rPr>
              <w:t>Clearly define all outcomes, exposures, predictors, potential confounders, and effect modifiers. Give diagnostic criteria, if applicable</w:t>
            </w:r>
          </w:p>
        </w:tc>
        <w:tc>
          <w:tcPr>
            <w:tcW w:w="1559" w:type="dxa"/>
          </w:tcPr>
          <w:p w:rsidR="00191A23" w:rsidRPr="0022554A" w:rsidRDefault="00191A23" w:rsidP="0022554A">
            <w:pPr>
              <w:tabs>
                <w:tab w:val="left" w:pos="5400"/>
              </w:tabs>
              <w:rPr>
                <w:sz w:val="20"/>
              </w:rPr>
            </w:pPr>
            <w:r>
              <w:rPr>
                <w:sz w:val="20"/>
              </w:rPr>
              <w:t xml:space="preserve">5–7</w:t>
            </w:r>
          </w:p>
        </w:tc>
        <w:tc>
          <w:tcPr>
            <w:tcW w:w="2835" w:type="dxa"/>
          </w:tcPr>
          <w:p w:rsidR="00191A23" w:rsidRPr="0022554A" w:rsidRDefault="00191A23" w:rsidP="0022554A">
            <w:pPr>
              <w:tabs>
                <w:tab w:val="left" w:pos="5400"/>
              </w:tabs>
              <w:rPr>
                <w:sz w:val="20"/>
              </w:rPr>
            </w:pPr>
            <w:r>
              <w:rPr>
                <w:sz w:val="20"/>
              </w:rPr>
              <w:t xml:space="preserve">Methods, “Exposure,” “Outcomes,” and “Covariates”: the exposure (median RASS over the first 48 h), the primary outcome (28-day mortality) and secondary outcomes, and the prespecified baseline covariates and effect modifiers are each defined.</w:t>
            </w:r>
          </w:p>
        </w:tc>
      </w:tr>
      <w:tr w:rsidR="00191A23" w:rsidRPr="0022554A" w:rsidTr="00E341E9">
        <w:trPr>
          <w:trHeight w:val="294"/>
        </w:trPr>
        <w:tc>
          <w:tcPr>
            <w:tcW w:w="1951" w:type="dxa"/>
          </w:tcPr>
          <w:p w:rsidR="00191A23" w:rsidRPr="0022554A" w:rsidRDefault="00191A23" w:rsidP="0022554A">
            <w:pPr>
              <w:tabs>
                <w:tab w:val="left" w:pos="5400"/>
              </w:tabs>
              <w:rPr>
                <w:bCs/>
                <w:sz w:val="20"/>
              </w:rPr>
            </w:pPr>
            <w:bookmarkStart w:id="31" w:name="bold17"/>
            <w:bookmarkStart w:id="32" w:name="italic18"/>
            <w:bookmarkEnd w:id="29"/>
            <w:bookmarkEnd w:id="30"/>
            <w:r>
              <w:rPr>
                <w:bCs/>
                <w:sz w:val="20"/>
              </w:rPr>
              <w:t>Data sources/</w:t>
            </w:r>
            <w:bookmarkStart w:id="33" w:name="bold18"/>
            <w:bookmarkStart w:id="34" w:name="italic19"/>
            <w:bookmarkEnd w:id="31"/>
            <w:bookmarkEnd w:id="32"/>
            <w:r>
              <w:rPr>
                <w:bCs/>
                <w:sz w:val="20"/>
              </w:rPr>
              <w:t xml:space="preserve"> measurement</w:t>
            </w:r>
            <w:bookmarkEnd w:id="33"/>
            <w:bookmarkEnd w:id="34"/>
          </w:p>
        </w:tc>
        <w:tc>
          <w:tcPr>
            <w:tcW w:w="616" w:type="dxa"/>
          </w:tcPr>
          <w:p w:rsidR="00191A23" w:rsidRPr="0022554A" w:rsidRDefault="00191A23" w:rsidP="0022554A">
            <w:pPr>
              <w:tabs>
                <w:tab w:val="left" w:pos="5400"/>
              </w:tabs>
              <w:jc w:val="center"/>
              <w:rPr>
                <w:sz w:val="20"/>
              </w:rPr>
            </w:pPr>
            <w:r>
              <w:rPr>
                <w:sz w:val="20"/>
              </w:rPr>
              <w:t>8</w:t>
            </w:r>
            <w:bookmarkStart w:id="35" w:name="bold19"/>
            <w:r>
              <w:rPr>
                <w:bCs/>
                <w:sz w:val="20"/>
              </w:rPr>
              <w:t>*</w:t>
            </w:r>
            <w:bookmarkEnd w:id="35"/>
          </w:p>
        </w:tc>
        <w:tc>
          <w:tcPr>
            <w:tcW w:w="8031" w:type="dxa"/>
          </w:tcPr>
          <w:p w:rsidR="00191A23" w:rsidRPr="0022554A" w:rsidRDefault="00191A23" w:rsidP="0022554A">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559" w:type="dxa"/>
          </w:tcPr>
          <w:p w:rsidR="00191A23" w:rsidRPr="0022554A" w:rsidRDefault="00191A23" w:rsidP="0022554A">
            <w:pPr>
              <w:tabs>
                <w:tab w:val="left" w:pos="5400"/>
              </w:tabs>
              <w:rPr>
                <w:i/>
                <w:sz w:val="20"/>
              </w:rPr>
            </w:pPr>
            <w:r>
              <w:rPr>
                <w:sz w:val="20"/>
              </w:rPr>
              <w:t xml:space="preserve">5–7</w:t>
            </w:r>
          </w:p>
        </w:tc>
        <w:tc>
          <w:tcPr>
            <w:tcW w:w="2835" w:type="dxa"/>
          </w:tcPr>
          <w:p w:rsidR="00191A23" w:rsidRPr="0022554A" w:rsidRDefault="00191A23" w:rsidP="0022554A">
            <w:pPr>
              <w:tabs>
                <w:tab w:val="left" w:pos="5400"/>
              </w:tabs>
              <w:rPr>
                <w:i/>
                <w:sz w:val="20"/>
              </w:rPr>
            </w:pPr>
            <w:r>
              <w:rPr>
                <w:sz w:val="20"/>
              </w:rPr>
              <w:t xml:space="preserve">Methods, “Exposure,” “Outcomes,” “Covariates,” and Supplementary Methods (Sections S1–S7, Table S4): sources and assessment methods for every variable, including item identifiers and source tables, are described; comparability across the two databases is addressed.</w:t>
            </w:r>
          </w:p>
        </w:tc>
      </w:tr>
      <w:tr w:rsidR="00191A23" w:rsidRPr="0022554A" w:rsidTr="00E341E9">
        <w:tc>
          <w:tcPr>
            <w:tcW w:w="1951" w:type="dxa"/>
          </w:tcPr>
          <w:p w:rsidR="00191A23" w:rsidRPr="0022554A" w:rsidRDefault="00191A23" w:rsidP="0022554A">
            <w:pPr>
              <w:tabs>
                <w:tab w:val="left" w:pos="5400"/>
              </w:tabs>
              <w:rPr>
                <w:bCs/>
                <w:color w:val="000000"/>
                <w:sz w:val="20"/>
              </w:rPr>
            </w:pPr>
            <w:bookmarkStart w:id="36" w:name="bold20" w:colFirst="0" w:colLast="0"/>
            <w:bookmarkStart w:id="37" w:name="italic20" w:colFirst="0" w:colLast="0"/>
            <w:r>
              <w:rPr>
                <w:bCs/>
                <w:color w:val="000000"/>
                <w:sz w:val="20"/>
              </w:rPr>
              <w:t>Bias</w:t>
            </w:r>
          </w:p>
        </w:tc>
        <w:tc>
          <w:tcPr>
            <w:tcW w:w="616" w:type="dxa"/>
          </w:tcPr>
          <w:p w:rsidR="00191A23" w:rsidRPr="0022554A" w:rsidRDefault="00191A23" w:rsidP="0022554A">
            <w:pPr>
              <w:tabs>
                <w:tab w:val="left" w:pos="5400"/>
              </w:tabs>
              <w:jc w:val="center"/>
              <w:rPr>
                <w:sz w:val="20"/>
              </w:rPr>
            </w:pPr>
            <w:r>
              <w:rPr>
                <w:sz w:val="20"/>
              </w:rPr>
              <w:t>9</w:t>
            </w:r>
          </w:p>
        </w:tc>
        <w:tc>
          <w:tcPr>
            <w:tcW w:w="8031" w:type="dxa"/>
          </w:tcPr>
          <w:p w:rsidR="00191A23" w:rsidRPr="0022554A" w:rsidRDefault="00191A23" w:rsidP="0022554A">
            <w:pPr>
              <w:tabs>
                <w:tab w:val="left" w:pos="5400"/>
              </w:tabs>
              <w:rPr>
                <w:color w:val="000000"/>
                <w:sz w:val="20"/>
              </w:rPr>
            </w:pPr>
            <w:r>
              <w:rPr>
                <w:color w:val="000000"/>
                <w:sz w:val="20"/>
              </w:rPr>
              <w:t>Describe any efforts to address potential sources of bias</w:t>
            </w:r>
          </w:p>
        </w:tc>
        <w:tc>
          <w:tcPr>
            <w:tcW w:w="1559" w:type="dxa"/>
          </w:tcPr>
          <w:p w:rsidR="00191A23" w:rsidRPr="0022554A" w:rsidRDefault="00191A23" w:rsidP="0022554A">
            <w:pPr>
              <w:tabs>
                <w:tab w:val="left" w:pos="5400"/>
              </w:tabs>
              <w:rPr>
                <w:color w:val="000000"/>
                <w:sz w:val="20"/>
              </w:rPr>
            </w:pPr>
            <w:r>
              <w:rPr>
                <w:sz w:val="20"/>
              </w:rPr>
              <w:t xml:space="preserve">4–8</w:t>
            </w:r>
          </w:p>
        </w:tc>
        <w:tc>
          <w:tcPr>
            <w:tcW w:w="2835" w:type="dxa"/>
          </w:tcPr>
          <w:p w:rsidR="00191A23" w:rsidRPr="0022554A" w:rsidRDefault="00191A23" w:rsidP="0022554A">
            <w:pPr>
              <w:tabs>
                <w:tab w:val="left" w:pos="5400"/>
              </w:tabs>
              <w:rPr>
                <w:color w:val="000000"/>
                <w:sz w:val="20"/>
              </w:rPr>
            </w:pPr>
            <w:r>
              <w:rPr>
                <w:sz w:val="20"/>
              </w:rPr>
              <w:t xml:space="preserve">Methods: confounding by indication was addressed by IPTW with a prespecified covariate set; immortal time bias was avoided by placing time zero at the end of the exposure window; neuro/neurosurgical ICU patients were excluded to limit exposure misclassification.</w:t>
            </w:r>
          </w:p>
        </w:tc>
      </w:tr>
      <w:tr w:rsidR="00191A23" w:rsidRPr="0022554A" w:rsidTr="00E341E9">
        <w:tc>
          <w:tcPr>
            <w:tcW w:w="1951" w:type="dxa"/>
          </w:tcPr>
          <w:p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Pr>
                <w:bCs/>
                <w:sz w:val="20"/>
              </w:rPr>
              <w:t>Study size</w:t>
            </w:r>
          </w:p>
        </w:tc>
        <w:tc>
          <w:tcPr>
            <w:tcW w:w="616" w:type="dxa"/>
          </w:tcPr>
          <w:p w:rsidR="00191A23" w:rsidRPr="0022554A" w:rsidRDefault="00191A23" w:rsidP="0022554A">
            <w:pPr>
              <w:tabs>
                <w:tab w:val="left" w:pos="5400"/>
              </w:tabs>
              <w:jc w:val="center"/>
              <w:rPr>
                <w:sz w:val="20"/>
              </w:rPr>
            </w:pPr>
            <w:r>
              <w:rPr>
                <w:sz w:val="20"/>
              </w:rPr>
              <w:t>10</w:t>
            </w:r>
          </w:p>
        </w:tc>
        <w:tc>
          <w:tcPr>
            <w:tcW w:w="8031" w:type="dxa"/>
          </w:tcPr>
          <w:p w:rsidR="00191A23" w:rsidRPr="0022554A" w:rsidRDefault="00191A23" w:rsidP="0022554A">
            <w:pPr>
              <w:tabs>
                <w:tab w:val="left" w:pos="5400"/>
              </w:tabs>
              <w:rPr>
                <w:sz w:val="20"/>
              </w:rPr>
            </w:pPr>
            <w:r>
              <w:rPr>
                <w:sz w:val="20"/>
              </w:rPr>
              <w:t>Explain how the study size was arrived at</w:t>
            </w:r>
          </w:p>
        </w:tc>
        <w:tc>
          <w:tcPr>
            <w:tcW w:w="1559" w:type="dxa"/>
          </w:tcPr>
          <w:p w:rsidR="00191A23" w:rsidRPr="0022554A" w:rsidRDefault="00191A23" w:rsidP="0022554A">
            <w:pPr>
              <w:tabs>
                <w:tab w:val="left" w:pos="5400"/>
              </w:tabs>
              <w:rPr>
                <w:sz w:val="20"/>
              </w:rPr>
            </w:pPr>
            <w:r>
              <w:rPr>
                <w:sz w:val="20"/>
              </w:rPr>
              <w:t xml:space="preserve">9</w:t>
            </w:r>
          </w:p>
        </w:tc>
        <w:tc>
          <w:tcPr>
            <w:tcW w:w="2835" w:type="dxa"/>
          </w:tcPr>
          <w:p w:rsidR="00191A23" w:rsidRPr="0022554A" w:rsidRDefault="00191A23" w:rsidP="0022554A">
            <w:pPr>
              <w:tabs>
                <w:tab w:val="left" w:pos="5400"/>
              </w:tabs>
              <w:rPr>
                <w:sz w:val="20"/>
              </w:rPr>
            </w:pPr>
            <w:r>
              <w:rPr>
                <w:sz w:val="20"/>
              </w:rPr>
              <w:t xml:space="preserve">Results, “Cohort derivation,” and Figure 1: the study size was determined by the number of eligible patients meeting all criteria in each database (8,477 in MIMIC-IV; 844 in eICU-CRD); no formal sample-size calculation was performed.</w:t>
            </w:r>
          </w:p>
        </w:tc>
      </w:tr>
    </w:tbl>
    <w:p w:rsidR="00191A23" w:rsidRDefault="00191A23">
      <w:bookmarkStart w:id="40" w:name="bold22"/>
      <w:bookmarkStart w:id="41" w:name="italic22"/>
      <w:bookmarkEnd w:id="38"/>
      <w:bookmarkEnd w:id="39"/>
      <w:r>
        <w:rPr>
          <w:sz w:val="16"/>
          <w:szCs w:val="16"/>
        </w:rPr>
        <w:t>Continued on next page</w:t>
      </w:r>
      <w:r>
        <w:t xml:space="preserve"> </w:t>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rsidTr="00517788">
        <w:tc>
          <w:tcPr>
            <w:tcW w:w="1521" w:type="dxa"/>
          </w:tcPr>
          <w:p w:rsidR="00191A23" w:rsidRPr="0022554A" w:rsidRDefault="00191A23" w:rsidP="00191A23">
            <w:pPr>
              <w:tabs>
                <w:tab w:val="left" w:pos="5400"/>
              </w:tabs>
              <w:rPr>
                <w:bCs/>
                <w:sz w:val="20"/>
              </w:rPr>
            </w:pPr>
            <w:r>
              <w:rPr>
                <w:bCs/>
                <w:sz w:val="20"/>
              </w:rPr>
              <w:lastRenderedPageBreak/>
              <w:t>Quantitative</w:t>
            </w:r>
            <w:bookmarkStart w:id="42" w:name="bold23"/>
            <w:bookmarkStart w:id="43" w:name="italic23"/>
            <w:bookmarkEnd w:id="40"/>
            <w:bookmarkEnd w:id="41"/>
            <w:r>
              <w:rPr>
                <w:bCs/>
                <w:sz w:val="20"/>
              </w:rPr>
              <w:t xml:space="preserve"> variables</w:t>
            </w:r>
            <w:bookmarkEnd w:id="42"/>
            <w:bookmarkEnd w:id="43"/>
          </w:p>
        </w:tc>
        <w:tc>
          <w:tcPr>
            <w:tcW w:w="749" w:type="dxa"/>
          </w:tcPr>
          <w:p w:rsidR="00191A23" w:rsidRPr="0022554A" w:rsidRDefault="00191A23" w:rsidP="00191A23">
            <w:pPr>
              <w:tabs>
                <w:tab w:val="left" w:pos="5400"/>
              </w:tabs>
              <w:jc w:val="center"/>
              <w:rPr>
                <w:sz w:val="20"/>
              </w:rPr>
            </w:pPr>
            <w:r>
              <w:rPr>
                <w:sz w:val="20"/>
              </w:rPr>
              <w:t>11</w:t>
            </w:r>
          </w:p>
        </w:tc>
        <w:tc>
          <w:tcPr>
            <w:tcW w:w="8328" w:type="dxa"/>
          </w:tcPr>
          <w:p w:rsidR="00191A23" w:rsidRPr="0022554A" w:rsidRDefault="00191A23" w:rsidP="00191A23">
            <w:pPr>
              <w:tabs>
                <w:tab w:val="left" w:pos="5400"/>
              </w:tabs>
              <w:rPr>
                <w:sz w:val="20"/>
              </w:rPr>
            </w:pPr>
            <w:r>
              <w:rPr>
                <w:sz w:val="20"/>
              </w:rPr>
              <w:t>Explain how quantitative variables were handled in the analyses. If applicable, describe which groupings were chosen and why</w:t>
            </w:r>
          </w:p>
        </w:tc>
        <w:tc>
          <w:tcPr>
            <w:tcW w:w="1276" w:type="dxa"/>
          </w:tcPr>
          <w:p w:rsidR="00191A23" w:rsidRPr="0022554A" w:rsidRDefault="00191A23" w:rsidP="00191A23">
            <w:pPr>
              <w:tabs>
                <w:tab w:val="left" w:pos="5400"/>
              </w:tabs>
              <w:rPr>
                <w:sz w:val="20"/>
              </w:rPr>
            </w:pPr>
            <w:r>
              <w:rPr>
                <w:sz w:val="20"/>
              </w:rPr>
              <w:t xml:space="preserve">5–7</w:t>
            </w:r>
          </w:p>
        </w:tc>
        <w:tc>
          <w:tcPr>
            <w:tcW w:w="3118" w:type="dxa"/>
          </w:tcPr>
          <w:p w:rsidR="00191A23" w:rsidRPr="0022554A" w:rsidRDefault="00191A23" w:rsidP="00191A23">
            <w:pPr>
              <w:tabs>
                <w:tab w:val="left" w:pos="5400"/>
              </w:tabs>
              <w:rPr>
                <w:sz w:val="20"/>
              </w:rPr>
            </w:pPr>
            <w:r>
              <w:rPr>
                <w:sz w:val="20"/>
              </w:rPr>
              <w:t xml:space="preserve">Methods, “Exposure” and “Statistical analysis”: continuous variables are summarised as mean (SD) or median (IQR); the exposure was handled as a binary strategy from the median RASS; SOFA score was additionally analysed in prespecified categories.</w:t>
            </w:r>
          </w:p>
        </w:tc>
      </w:tr>
      <w:tr w:rsidR="00191A23" w:rsidRPr="0022554A" w:rsidTr="00517788">
        <w:tc>
          <w:tcPr>
            <w:tcW w:w="1521" w:type="dxa"/>
            <w:vMerge w:val="restart"/>
          </w:tcPr>
          <w:p w:rsidR="00191A23" w:rsidRPr="0022554A" w:rsidRDefault="00191A23" w:rsidP="00191A23">
            <w:pPr>
              <w:tabs>
                <w:tab w:val="left" w:pos="5400"/>
              </w:tabs>
              <w:rPr>
                <w:sz w:val="20"/>
              </w:rPr>
            </w:pPr>
            <w:bookmarkStart w:id="44" w:name="italic24"/>
            <w:r>
              <w:rPr>
                <w:sz w:val="20"/>
              </w:rPr>
              <w:t>Statistical</w:t>
            </w:r>
            <w:bookmarkStart w:id="45" w:name="italic25"/>
            <w:bookmarkEnd w:id="44"/>
            <w:r>
              <w:rPr>
                <w:sz w:val="20"/>
              </w:rPr>
              <w:t xml:space="preserve"> methods</w:t>
            </w:r>
            <w:bookmarkEnd w:id="45"/>
          </w:p>
        </w:tc>
        <w:tc>
          <w:tcPr>
            <w:tcW w:w="749" w:type="dxa"/>
            <w:vMerge w:val="restart"/>
          </w:tcPr>
          <w:p w:rsidR="00191A23" w:rsidRPr="0022554A" w:rsidRDefault="00191A23" w:rsidP="00191A23">
            <w:pPr>
              <w:tabs>
                <w:tab w:val="left" w:pos="5400"/>
              </w:tabs>
              <w:jc w:val="center"/>
              <w:rPr>
                <w:sz w:val="20"/>
              </w:rPr>
            </w:pPr>
            <w:r>
              <w:rPr>
                <w:sz w:val="20"/>
              </w:rPr>
              <w:t>12</w:t>
            </w:r>
          </w:p>
        </w:tc>
        <w:tc>
          <w:tcPr>
            <w:tcW w:w="8328" w:type="dxa"/>
          </w:tcPr>
          <w:p w:rsidR="00191A23" w:rsidRPr="0022554A" w:rsidRDefault="00191A23" w:rsidP="00191A23">
            <w:pPr>
              <w:tabs>
                <w:tab w:val="left" w:pos="5400"/>
              </w:tabs>
              <w:rPr>
                <w:sz w:val="20"/>
              </w:rPr>
            </w:pPr>
            <w:r>
              <w:rPr>
                <w:sz w:val="20"/>
              </w:rPr>
              <w:t>(</w:t>
            </w:r>
            <w:r>
              <w:rPr>
                <w:i/>
                <w:sz w:val="20"/>
              </w:rPr>
              <w:t>a</w:t>
            </w:r>
            <w:r>
              <w:rPr>
                <w:sz w:val="20"/>
              </w:rPr>
              <w:t>) Describe all statistical methods, including those used to control for confounding</w:t>
            </w:r>
          </w:p>
        </w:tc>
        <w:tc>
          <w:tcPr>
            <w:tcW w:w="1276" w:type="dxa"/>
          </w:tcPr>
          <w:p w:rsidR="00191A23" w:rsidRPr="0022554A" w:rsidRDefault="00191A23" w:rsidP="00191A23">
            <w:pPr>
              <w:tabs>
                <w:tab w:val="left" w:pos="5400"/>
              </w:tabs>
              <w:rPr>
                <w:sz w:val="20"/>
              </w:rPr>
            </w:pPr>
            <w:r>
              <w:rPr>
                <w:sz w:val="20"/>
              </w:rPr>
              <w:t xml:space="preserve">7</w:t>
            </w:r>
          </w:p>
        </w:tc>
        <w:tc>
          <w:tcPr>
            <w:tcW w:w="3118" w:type="dxa"/>
          </w:tcPr>
          <w:p w:rsidR="00191A23" w:rsidRPr="0022554A" w:rsidRDefault="00191A23" w:rsidP="00191A23">
            <w:pPr>
              <w:tabs>
                <w:tab w:val="left" w:pos="5400"/>
              </w:tabs>
              <w:rPr>
                <w:sz w:val="20"/>
              </w:rPr>
            </w:pPr>
            <w:r>
              <w:rPr>
                <w:sz w:val="20"/>
              </w:rPr>
              <w:t xml:space="preserve">Methods, “Statistical analysis”: confounding was addressed by inverse probability of treatment weighting using a multivariable logistic propensity score; weighted logistic, Cox, and linear models estimated the OR, HR, and risk difference, with robust variance.</w:t>
            </w:r>
          </w:p>
        </w:tc>
      </w:tr>
      <w:tr w:rsidR="00191A23" w:rsidRPr="0022554A" w:rsidTr="00517788">
        <w:tc>
          <w:tcPr>
            <w:tcW w:w="1521" w:type="dxa"/>
            <w:vMerge/>
          </w:tcPr>
          <w:p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w:t>
            </w:r>
            <w:r>
              <w:rPr>
                <w:i/>
                <w:sz w:val="20"/>
              </w:rPr>
              <w:t>b</w:t>
            </w:r>
            <w:r>
              <w:rPr>
                <w:sz w:val="20"/>
              </w:rPr>
              <w:t>) Describe any methods used to examine subgroups and interactions</w:t>
            </w:r>
          </w:p>
        </w:tc>
        <w:tc>
          <w:tcPr>
            <w:tcW w:w="1276" w:type="dxa"/>
          </w:tcPr>
          <w:p w:rsidR="00191A23" w:rsidRPr="0022554A" w:rsidRDefault="00191A23" w:rsidP="00191A23">
            <w:pPr>
              <w:tabs>
                <w:tab w:val="left" w:pos="5400"/>
              </w:tabs>
              <w:rPr>
                <w:sz w:val="20"/>
              </w:rPr>
            </w:pPr>
            <w:r>
              <w:rPr>
                <w:sz w:val="20"/>
              </w:rPr>
              <w:t xml:space="preserve">8</w:t>
            </w:r>
          </w:p>
        </w:tc>
        <w:tc>
          <w:tcPr>
            <w:tcW w:w="3118" w:type="dxa"/>
          </w:tcPr>
          <w:p w:rsidR="00191A23" w:rsidRPr="0022554A" w:rsidRDefault="00191A23" w:rsidP="00191A23">
            <w:pPr>
              <w:tabs>
                <w:tab w:val="left" w:pos="5400"/>
              </w:tabs>
              <w:rPr>
                <w:sz w:val="20"/>
              </w:rPr>
            </w:pPr>
            <w:r>
              <w:rPr>
                <w:sz w:val="20"/>
              </w:rPr>
              <w:t xml:space="preserve">Methods, “Statistical analysis”: effect modification was examined in four prespecified subgroups (age, SOFA category, septic shock, neuromuscular blockade) by repeating the weighted analysis within strata and testing a multiplicative exposure-by-subgroup interaction term.</w:t>
            </w:r>
          </w:p>
        </w:tc>
      </w:tr>
      <w:tr w:rsidR="00191A23" w:rsidRPr="0022554A" w:rsidTr="00517788">
        <w:tc>
          <w:tcPr>
            <w:tcW w:w="1521" w:type="dxa"/>
            <w:vMerge/>
          </w:tcPr>
          <w:p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w:t>
            </w:r>
            <w:r>
              <w:rPr>
                <w:i/>
                <w:sz w:val="20"/>
              </w:rPr>
              <w:t>c</w:t>
            </w:r>
            <w:r>
              <w:rPr>
                <w:sz w:val="20"/>
              </w:rPr>
              <w:t>) Explain how missing data were addressed</w:t>
            </w:r>
          </w:p>
        </w:tc>
        <w:tc>
          <w:tcPr>
            <w:tcW w:w="1276" w:type="dxa"/>
          </w:tcPr>
          <w:p w:rsidR="00191A23" w:rsidRPr="0022554A" w:rsidRDefault="00191A23" w:rsidP="00191A23">
            <w:pPr>
              <w:tabs>
                <w:tab w:val="left" w:pos="5400"/>
              </w:tabs>
              <w:rPr>
                <w:sz w:val="20"/>
              </w:rPr>
            </w:pPr>
            <w:r>
              <w:rPr>
                <w:sz w:val="20"/>
              </w:rPr>
              <w:t xml:space="preserve">7</w:t>
            </w:r>
          </w:p>
        </w:tc>
        <w:tc>
          <w:tcPr>
            <w:tcW w:w="3118" w:type="dxa"/>
          </w:tcPr>
          <w:p w:rsidR="00191A23" w:rsidRPr="0022554A" w:rsidRDefault="00191A23" w:rsidP="00191A23">
            <w:pPr>
              <w:tabs>
                <w:tab w:val="left" w:pos="5400"/>
              </w:tabs>
              <w:rPr>
                <w:sz w:val="20"/>
              </w:rPr>
            </w:pPr>
            <w:r>
              <w:rPr>
                <w:sz w:val="20"/>
              </w:rPr>
              <w:t xml:space="preserve">Methods, “Statistical analysis”: missing values, confined to laboratory covariates and the APACHE IVa score, were imputed by predictive mean matching using chained equations; a multiple-imputation sensitivity analysis pooled five datasets by Rubin’s rules (Supplementary Methods, S8).</w:t>
            </w:r>
          </w:p>
        </w:tc>
      </w:tr>
      <w:tr w:rsidR="00191A23" w:rsidRPr="0022554A" w:rsidTr="00517788">
        <w:tc>
          <w:tcPr>
            <w:tcW w:w="1521" w:type="dxa"/>
            <w:vMerge/>
          </w:tcPr>
          <w:p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rsidR="00191A23" w:rsidRPr="0022554A" w:rsidRDefault="00191A23" w:rsidP="00191A23">
            <w:pPr>
              <w:tabs>
                <w:tab w:val="left" w:pos="5400"/>
              </w:tabs>
              <w:rPr>
                <w:sz w:val="20"/>
              </w:rPr>
            </w:pPr>
            <w:r>
              <w:rPr>
                <w:bCs/>
                <w:i/>
                <w:sz w:val="20"/>
              </w:rPr>
              <w:t>Case-control study</w:t>
            </w:r>
            <w:r>
              <w:rPr>
                <w:sz w:val="20"/>
              </w:rPr>
              <w:t>—If applicable, explain how matching of cases and controls was addressed</w:t>
            </w:r>
          </w:p>
          <w:p w:rsidR="00191A23" w:rsidRPr="0022554A" w:rsidRDefault="00191A23" w:rsidP="00191A23">
            <w:pPr>
              <w:tabs>
                <w:tab w:val="left" w:pos="5400"/>
              </w:tabs>
              <w:rPr>
                <w:sz w:val="20"/>
              </w:rPr>
            </w:pPr>
            <w:r>
              <w:rPr>
                <w:bCs/>
                <w:i/>
                <w:sz w:val="20"/>
              </w:rPr>
              <w:t>Cross-sectional study</w:t>
            </w:r>
            <w:r>
              <w:rPr>
                <w:sz w:val="20"/>
              </w:rPr>
              <w:t>—If applicable, describe analytical methods taking account of sampling strategy</w:t>
            </w:r>
          </w:p>
        </w:tc>
        <w:tc>
          <w:tcPr>
            <w:tcW w:w="1276" w:type="dxa"/>
          </w:tcPr>
          <w:p w:rsidR="00191A23" w:rsidRPr="0022554A" w:rsidRDefault="00191A23" w:rsidP="00191A23">
            <w:pPr>
              <w:tabs>
                <w:tab w:val="left" w:pos="5400"/>
              </w:tabs>
              <w:rPr>
                <w:sz w:val="20"/>
              </w:rPr>
            </w:pPr>
            <w:r>
              <w:rPr>
                <w:sz w:val="20"/>
              </w:rPr>
              <w:t xml:space="preserve">6</w:t>
            </w:r>
          </w:p>
        </w:tc>
        <w:tc>
          <w:tcPr>
            <w:tcW w:w="3118" w:type="dxa"/>
          </w:tcPr>
          <w:p w:rsidR="00191A23" w:rsidRPr="0022554A" w:rsidRDefault="00191A23" w:rsidP="00191A23">
            <w:pPr>
              <w:tabs>
                <w:tab w:val="left" w:pos="5400"/>
              </w:tabs>
              <w:rPr>
                <w:sz w:val="20"/>
              </w:rPr>
            </w:pPr>
            <w:r>
              <w:rPr>
                <w:sz w:val="20"/>
              </w:rPr>
              <w:t xml:space="preserve">Methods, “Outcomes”: vital status was obtained from the structured death and discharge records of each database. In eICU-CRD, vital status is recorded only to hospital discharge (Supplementary Methods, S5); follow-up for the primary outcome began at time zero.</w:t>
            </w:r>
          </w:p>
        </w:tc>
      </w:tr>
      <w:tr w:rsidR="00191A23" w:rsidRPr="0022554A" w:rsidTr="00517788">
        <w:tc>
          <w:tcPr>
            <w:tcW w:w="1521" w:type="dxa"/>
            <w:vMerge/>
          </w:tcPr>
          <w:p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w:t>
            </w:r>
            <w:r>
              <w:rPr>
                <w:i/>
                <w:sz w:val="20"/>
                <w:u w:val="single"/>
              </w:rPr>
              <w:t>e</w:t>
            </w:r>
            <w:r>
              <w:rPr>
                <w:sz w:val="20"/>
              </w:rPr>
              <w:t>) Describe any sensitivity analyses</w:t>
            </w:r>
          </w:p>
        </w:tc>
        <w:tc>
          <w:tcPr>
            <w:tcW w:w="1276" w:type="dxa"/>
          </w:tcPr>
          <w:p w:rsidR="00191A23" w:rsidRPr="0022554A" w:rsidRDefault="00191A23" w:rsidP="00191A23">
            <w:pPr>
              <w:tabs>
                <w:tab w:val="left" w:pos="5400"/>
              </w:tabs>
              <w:rPr>
                <w:sz w:val="20"/>
              </w:rPr>
            </w:pPr>
            <w:r>
              <w:rPr>
                <w:sz w:val="20"/>
              </w:rPr>
              <w:t xml:space="preserve">7–8</w:t>
            </w:r>
          </w:p>
        </w:tc>
        <w:tc>
          <w:tcPr>
            <w:tcW w:w="3118" w:type="dxa"/>
          </w:tcPr>
          <w:p w:rsidR="00191A23" w:rsidRPr="0022554A" w:rsidRDefault="00191A23" w:rsidP="00191A23">
            <w:pPr>
              <w:tabs>
                <w:tab w:val="left" w:pos="5400"/>
              </w:tabs>
              <w:rPr>
                <w:sz w:val="20"/>
              </w:rPr>
            </w:pPr>
            <w:r>
              <w:rPr>
                <w:sz w:val="20"/>
              </w:rPr>
              <w:t xml:space="preserve">Methods, “Statistical analysis”: three prespecified sensitivity analyses were performed—propensity score matching, multiple imputation, and an E-value for unmeasured confounding.</w:t>
            </w:r>
          </w:p>
        </w:tc>
      </w:tr>
      <w:bookmarkEnd w:id="52"/>
      <w:bookmarkEnd w:id="53"/>
      <w:tr w:rsidR="00191A23" w:rsidRPr="0022554A" w:rsidTr="00191A23">
        <w:tc>
          <w:tcPr>
            <w:tcW w:w="14992" w:type="dxa"/>
            <w:gridSpan w:val="5"/>
          </w:tcPr>
          <w:p w:rsidR="00191A23" w:rsidRPr="0022554A" w:rsidRDefault="00191A23" w:rsidP="00191A23">
            <w:pPr>
              <w:pStyle w:val="TableSubHead"/>
              <w:tabs>
                <w:tab w:val="left" w:pos="5400"/>
              </w:tabs>
              <w:rPr>
                <w:sz w:val="20"/>
              </w:rPr>
            </w:pPr>
            <w:r>
              <w:rPr>
                <w:sz w:val="20"/>
              </w:rPr>
              <w:t>Results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4" w:name="bold29"/>
            <w:bookmarkStart w:id="55" w:name="italic31"/>
            <w:r>
              <w:rPr>
                <w:bCs/>
                <w:sz w:val="20"/>
              </w:rPr>
              <w:t>Participants</w:t>
            </w:r>
            <w:bookmarkEnd w:id="54"/>
            <w:bookmarkEnd w:id="55"/>
          </w:p>
        </w:tc>
        <w:tc>
          <w:tcPr>
            <w:tcW w:w="0" w:type="auto"/>
            <w:vMerge w:val="restart"/>
          </w:tcPr>
          <w:p w:rsidR="00191A23" w:rsidRPr="0022554A" w:rsidRDefault="00191A23" w:rsidP="00191A23">
            <w:pPr>
              <w:tabs>
                <w:tab w:val="left" w:pos="5400"/>
              </w:tabs>
              <w:jc w:val="center"/>
              <w:rPr>
                <w:sz w:val="20"/>
              </w:rPr>
            </w:pPr>
            <w:r>
              <w:rPr>
                <w:sz w:val="20"/>
              </w:rPr>
              <w:t>13</w:t>
            </w:r>
            <w:bookmarkStart w:id="56" w:name="bold30"/>
            <w:r>
              <w:rPr>
                <w:bCs/>
                <w:sz w:val="20"/>
              </w:rPr>
              <w:t>*</w:t>
            </w:r>
            <w:bookmarkEnd w:id="56"/>
          </w:p>
        </w:tc>
        <w:tc>
          <w:tcPr>
            <w:tcW w:w="8328" w:type="dxa"/>
          </w:tcPr>
          <w:p w:rsidR="00191A23" w:rsidRPr="0022554A" w:rsidRDefault="00191A23" w:rsidP="00191A23">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276" w:type="dxa"/>
          </w:tcPr>
          <w:p w:rsidR="00191A23" w:rsidRDefault="00191A23" w:rsidP="00191A23">
            <w:pPr>
              <w:tabs>
                <w:tab w:val="left" w:pos="5400"/>
              </w:tabs>
              <w:rPr>
                <w:sz w:val="20"/>
              </w:rPr>
            </w:pPr>
            <w:r>
              <w:rPr>
                <w:sz w:val="20"/>
              </w:rPr>
              <w:t xml:space="preserve">9</w:t>
            </w:r>
          </w:p>
        </w:tc>
        <w:tc>
          <w:tcPr>
            <w:tcW w:w="3118" w:type="dxa"/>
          </w:tcPr>
          <w:p w:rsidR="00191A23" w:rsidRDefault="00191A23" w:rsidP="00191A23">
            <w:pPr>
              <w:tabs>
                <w:tab w:val="left" w:pos="5400"/>
              </w:tabs>
              <w:rPr>
                <w:sz w:val="20"/>
              </w:rPr>
            </w:pPr>
            <w:r>
              <w:rPr>
                <w:sz w:val="20"/>
              </w:rPr>
              <w:t xml:space="preserve">Results, “Cohort derivation,” and Figure 1: numbers at each stage are reported—eligible stays, classification by sedation depth, and exclusions—for both the MIMIC-IV and eICU-CRD cohorts.</w:t>
            </w:r>
          </w:p>
        </w:tc>
      </w:tr>
      <w:tr w:rsidR="00191A23" w:rsidRPr="0022554A" w:rsidTr="00517788">
        <w:tc>
          <w:tcPr>
            <w:tcW w:w="0" w:type="auto"/>
            <w:vMerge/>
          </w:tcPr>
          <w:p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(b) Give reasons for non-participation at each stage</w:t>
            </w:r>
          </w:p>
        </w:tc>
        <w:tc>
          <w:tcPr>
            <w:tcW w:w="1276" w:type="dxa"/>
          </w:tcPr>
          <w:p w:rsidR="00191A23" w:rsidRDefault="00191A23" w:rsidP="00191A23">
            <w:pPr>
              <w:tabs>
                <w:tab w:val="left" w:pos="5400"/>
              </w:tabs>
              <w:rPr>
                <w:sz w:val="20"/>
              </w:rPr>
            </w:pPr>
            <w:r>
              <w:rPr>
                <w:sz w:val="20"/>
              </w:rPr>
              <w:t xml:space="preserve">9</w:t>
            </w:r>
          </w:p>
        </w:tc>
        <w:tc>
          <w:tcPr>
            <w:tcW w:w="3118" w:type="dxa"/>
          </w:tcPr>
          <w:p w:rsidR="00191A23" w:rsidRDefault="00191A23" w:rsidP="00191A23">
            <w:pPr>
              <w:tabs>
                <w:tab w:val="left" w:pos="5400"/>
              </w:tabs>
              <w:rPr>
                <w:sz w:val="20"/>
              </w:rPr>
            </w:pPr>
            <w:r>
              <w:rPr>
                <w:sz w:val="20"/>
              </w:rPr>
              <w:t xml:space="preserve">Results, “Cohort derivation,” and Figure 1: reasons for exclusion (agitated or intermediate sedation depth; admission to a neurological or neurosurgical ICU) and the corresponding numbers are given for each cohort.</w:t>
            </w:r>
          </w:p>
        </w:tc>
      </w:tr>
      <w:tr w:rsidR="00191A23" w:rsidRPr="0022554A" w:rsidTr="00517788">
        <w:tc>
          <w:tcPr>
            <w:tcW w:w="0" w:type="auto"/>
            <w:vMerge/>
          </w:tcPr>
          <w:p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bookmarkStart w:id="61" w:name="OLE_LINK4"/>
            <w:r>
              <w:rPr>
                <w:sz w:val="20"/>
              </w:rPr>
              <w:t>(c) Consider use of a flow diagram</w:t>
            </w:r>
            <w:bookmarkEnd w:id="61"/>
          </w:p>
        </w:tc>
        <w:tc>
          <w:tcPr>
            <w:tcW w:w="1276" w:type="dxa"/>
          </w:tcPr>
          <w:p w:rsidR="00191A23" w:rsidRDefault="00191A23" w:rsidP="00191A23">
            <w:pPr>
              <w:tabs>
                <w:tab w:val="left" w:pos="5400"/>
              </w:tabs>
              <w:rPr>
                <w:sz w:val="20"/>
              </w:rPr>
            </w:pPr>
            <w:r>
              <w:rPr>
                <w:sz w:val="20"/>
              </w:rPr>
              <w:t xml:space="preserve">9, 22</w:t>
            </w:r>
          </w:p>
        </w:tc>
        <w:tc>
          <w:tcPr>
            <w:tcW w:w="3118" w:type="dxa"/>
          </w:tcPr>
          <w:p w:rsidR="00191A23" w:rsidRDefault="00191A23" w:rsidP="00191A23">
            <w:pPr>
              <w:tabs>
                <w:tab w:val="left" w:pos="5400"/>
              </w:tabs>
              <w:rPr>
                <w:sz w:val="20"/>
              </w:rPr>
            </w:pPr>
            <w:r>
              <w:rPr>
                <w:sz w:val="20"/>
              </w:rPr>
              <w:t xml:space="preserve">A flow diagram is provided as Figure 1, showing the derivation of both the primary and validation cohorts.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62" w:name="bold33"/>
            <w:bookmarkStart w:id="63" w:name="italic34"/>
            <w:bookmarkEnd w:id="59"/>
            <w:bookmarkEnd w:id="60"/>
            <w:r>
              <w:rPr>
                <w:bCs/>
                <w:sz w:val="20"/>
              </w:rPr>
              <w:t xml:space="preserve">Descriptive </w:t>
            </w:r>
            <w:bookmarkStart w:id="64" w:name="bold34"/>
            <w:bookmarkStart w:id="65" w:name="italic35"/>
            <w:bookmarkEnd w:id="62"/>
            <w:bookmarkEnd w:id="63"/>
            <w:r>
              <w:rPr>
                <w:bCs/>
                <w:sz w:val="20"/>
              </w:rPr>
              <w:t>data</w:t>
            </w:r>
            <w:bookmarkEnd w:id="64"/>
            <w:bookmarkEnd w:id="65"/>
          </w:p>
        </w:tc>
        <w:tc>
          <w:tcPr>
            <w:tcW w:w="0" w:type="auto"/>
            <w:vMerge w:val="restart"/>
          </w:tcPr>
          <w:p w:rsidR="00191A23" w:rsidRPr="0022554A" w:rsidRDefault="00191A23" w:rsidP="00191A23">
            <w:pPr>
              <w:tabs>
                <w:tab w:val="left" w:pos="5400"/>
              </w:tabs>
              <w:jc w:val="center"/>
              <w:rPr>
                <w:sz w:val="20"/>
              </w:rPr>
            </w:pPr>
            <w:r>
              <w:rPr>
                <w:sz w:val="20"/>
              </w:rPr>
              <w:t>14</w:t>
            </w:r>
            <w:bookmarkStart w:id="66" w:name="bold35"/>
            <w:r>
              <w:rPr>
                <w:bCs/>
                <w:sz w:val="20"/>
              </w:rPr>
              <w:t>*</w:t>
            </w:r>
            <w:bookmarkEnd w:id="66"/>
          </w:p>
        </w:tc>
        <w:tc>
          <w:tcPr>
            <w:tcW w:w="8328" w:type="dxa"/>
          </w:tcPr>
          <w:p w:rsidR="00191A23" w:rsidRPr="0022554A" w:rsidRDefault="00191A23" w:rsidP="00191A23">
            <w:pPr>
              <w:tabs>
                <w:tab w:val="left" w:pos="5400"/>
              </w:tabs>
              <w:rPr>
                <w:sz w:val="20"/>
              </w:rPr>
            </w:pPr>
            <w:r>
              <w:rPr>
                <w:sz w:val="20"/>
              </w:rPr>
              <w:t>(a) Give characteristics of study participants (eg demographic, clinical, social) and information on exposures and potential confounders</w:t>
            </w:r>
          </w:p>
        </w:tc>
        <w:tc>
          <w:tcPr>
            <w:tcW w:w="1276" w:type="dxa"/>
          </w:tcPr>
          <w:p w:rsidR="00191A23" w:rsidRDefault="00191A23" w:rsidP="00191A23">
            <w:pPr>
              <w:tabs>
                <w:tab w:val="left" w:pos="5400"/>
              </w:tabs>
              <w:rPr>
                <w:sz w:val="20"/>
              </w:rPr>
            </w:pPr>
            <w:r>
              <w:rPr>
                <w:sz w:val="20"/>
              </w:rPr>
              <w:t xml:space="preserve">9–10</w:t>
            </w:r>
          </w:p>
        </w:tc>
        <w:tc>
          <w:tcPr>
            <w:tcW w:w="3118" w:type="dxa"/>
          </w:tcPr>
          <w:p w:rsidR="00191A23" w:rsidRDefault="00191A23" w:rsidP="00191A23">
            <w:pPr>
              <w:tabs>
                <w:tab w:val="left" w:pos="5400"/>
              </w:tabs>
              <w:rPr>
                <w:sz w:val="20"/>
              </w:rPr>
            </w:pPr>
            <w:r>
              <w:rPr>
                <w:sz w:val="20"/>
              </w:rPr>
              <w:t xml:space="preserve">Results, “Baseline characteristics,” Table 1, and Supplementary Table S2: demographic, clinical, and treatment characteristics of both cohorts are reported by sedation group, with standardized mean differences.</w:t>
            </w:r>
          </w:p>
        </w:tc>
      </w:tr>
      <w:tr w:rsidR="00191A23" w:rsidRPr="0022554A" w:rsidTr="00517788">
        <w:tc>
          <w:tcPr>
            <w:tcW w:w="0" w:type="auto"/>
            <w:vMerge/>
          </w:tcPr>
          <w:p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(b) Indicate number of participants with missing data for each variable of interest</w:t>
            </w:r>
          </w:p>
        </w:tc>
        <w:tc>
          <w:tcPr>
            <w:tcW w:w="1276" w:type="dxa"/>
          </w:tcPr>
          <w:p w:rsidR="00191A23" w:rsidRDefault="00191A23" w:rsidP="00191A23">
            <w:pPr>
              <w:tabs>
                <w:tab w:val="left" w:pos="5400"/>
              </w:tabs>
              <w:rPr>
                <w:sz w:val="20"/>
              </w:rPr>
            </w:pPr>
            <w:r>
              <w:rPr>
                <w:sz w:val="20"/>
              </w:rPr>
              <w:t xml:space="preserve">7, 10</w:t>
            </w:r>
          </w:p>
        </w:tc>
        <w:tc>
          <w:tcPr>
            <w:tcW w:w="3118" w:type="dxa"/>
          </w:tcPr>
          <w:p w:rsidR="00191A23" w:rsidRDefault="00191A23" w:rsidP="00191A23">
            <w:pPr>
              <w:tabs>
                <w:tab w:val="left" w:pos="5400"/>
              </w:tabs>
              <w:rPr>
                <w:sz w:val="20"/>
              </w:rPr>
            </w:pPr>
            <w:r>
              <w:rPr>
                <w:sz w:val="20"/>
              </w:rPr>
              <w:t xml:space="preserve">Numbers with missing data are reported in the Supplementary Methods (S8): in MIMIC-IV, lactate was missing for 11.9% and other laboratory covariates for &lt; 0.1%; in eICU-CRD, lactate 24.8% and APACHE IVa 5.1%.</w:t>
            </w:r>
          </w:p>
        </w:tc>
      </w:tr>
      <w:tr w:rsidR="00191A23" w:rsidRPr="0022554A" w:rsidTr="00517788">
        <w:tc>
          <w:tcPr>
            <w:tcW w:w="0" w:type="auto"/>
            <w:vMerge/>
          </w:tcPr>
          <w:p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(c) </w:t>
            </w:r>
            <w:r>
              <w:rPr>
                <w:i/>
                <w:sz w:val="20"/>
              </w:rPr>
              <w:t>Cohort study</w:t>
            </w:r>
            <w:r>
              <w:rPr>
                <w:sz w:val="20"/>
              </w:rPr>
              <w:t>—Summarise follow-up time (eg, average and total amount)</w:t>
            </w:r>
          </w:p>
        </w:tc>
        <w:tc>
          <w:tcPr>
            <w:tcW w:w="1276" w:type="dxa"/>
          </w:tcPr>
          <w:p w:rsidR="00191A23" w:rsidRDefault="00191A23" w:rsidP="00191A23">
            <w:pPr>
              <w:tabs>
                <w:tab w:val="left" w:pos="5400"/>
              </w:tabs>
              <w:rPr>
                <w:sz w:val="20"/>
              </w:rPr>
            </w:pPr>
            <w:r>
              <w:rPr>
                <w:sz w:val="20"/>
              </w:rPr>
              <w:t xml:space="preserve">5–6</w:t>
            </w:r>
          </w:p>
        </w:tc>
        <w:tc>
          <w:tcPr>
            <w:tcW w:w="3118" w:type="dxa"/>
          </w:tcPr>
          <w:p w:rsidR="00191A23" w:rsidRDefault="00191A23" w:rsidP="00191A23">
            <w:pPr>
              <w:tabs>
                <w:tab w:val="left" w:pos="5400"/>
              </w:tabs>
              <w:rPr>
                <w:sz w:val="20"/>
              </w:rPr>
            </w:pPr>
            <w:r>
              <w:rPr>
                <w:sz w:val="20"/>
              </w:rPr>
              <w:t xml:space="preserve">Follow-up was a fixed 28-day window measured from time zero (48 h after the initiation of invasive ventilation); the exposure window itself was a fixed 48 h, so follow-up time did not vary by design.</w:t>
            </w:r>
          </w:p>
        </w:tc>
      </w:tr>
      <w:tr w:rsidR="00191A23" w:rsidRPr="0022554A" w:rsidTr="00517788">
        <w:trPr>
          <w:trHeight w:val="295"/>
        </w:trPr>
        <w:tc>
          <w:tcPr>
            <w:tcW w:w="0" w:type="auto"/>
            <w:vMerge w:val="restart"/>
          </w:tcPr>
          <w:p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Pr>
                <w:bCs/>
                <w:sz w:val="20"/>
              </w:rPr>
              <w:t>Outcome data</w:t>
            </w:r>
          </w:p>
        </w:tc>
        <w:tc>
          <w:tcPr>
            <w:tcW w:w="0" w:type="auto"/>
            <w:vMerge w:val="restart"/>
          </w:tcPr>
          <w:p w:rsidR="00191A23" w:rsidRPr="0022554A" w:rsidRDefault="00191A23" w:rsidP="00191A23">
            <w:pPr>
              <w:tabs>
                <w:tab w:val="left" w:pos="5400"/>
              </w:tabs>
              <w:jc w:val="center"/>
              <w:rPr>
                <w:sz w:val="20"/>
              </w:rPr>
            </w:pPr>
            <w:r>
              <w:rPr>
                <w:sz w:val="20"/>
              </w:rPr>
              <w:t>15</w:t>
            </w:r>
            <w:bookmarkStart w:id="73" w:name="bold39"/>
            <w:r>
              <w:rPr>
                <w:bCs/>
                <w:sz w:val="20"/>
              </w:rPr>
              <w:t>*</w:t>
            </w:r>
            <w:bookmarkEnd w:id="73"/>
          </w:p>
        </w:tc>
        <w:tc>
          <w:tcPr>
            <w:tcW w:w="8328" w:type="dxa"/>
          </w:tcPr>
          <w:p w:rsidR="00191A23" w:rsidRPr="0022554A" w:rsidRDefault="00191A23" w:rsidP="00191A23">
            <w:pPr>
              <w:tabs>
                <w:tab w:val="left" w:pos="5400"/>
              </w:tabs>
              <w:rPr>
                <w:sz w:val="20"/>
              </w:rPr>
            </w:pPr>
            <w:r>
              <w:rPr>
                <w:i/>
                <w:sz w:val="20"/>
              </w:rPr>
              <w:t>Cohort study</w:t>
            </w:r>
            <w:r>
              <w:rPr>
                <w:sz w:val="20"/>
              </w:rPr>
              <w:t>—Report numbers of outcome events or summary measures over time</w:t>
            </w:r>
          </w:p>
        </w:tc>
        <w:tc>
          <w:tcPr>
            <w:tcW w:w="1276" w:type="dxa"/>
          </w:tcPr>
          <w:p w:rsidR="00191A23" w:rsidRPr="0022554A" w:rsidRDefault="00191A23" w:rsidP="00191A23">
            <w:pPr>
              <w:tabs>
                <w:tab w:val="left" w:pos="5400"/>
              </w:tabs>
              <w:rPr>
                <w:i/>
                <w:sz w:val="20"/>
              </w:rPr>
            </w:pPr>
            <w:r>
              <w:rPr>
                <w:sz w:val="20"/>
              </w:rPr>
              <w:t xml:space="preserve">10–12</w:t>
            </w:r>
          </w:p>
        </w:tc>
        <w:tc>
          <w:tcPr>
            <w:tcW w:w="3118" w:type="dxa"/>
          </w:tcPr>
          <w:p w:rsidR="00191A23" w:rsidRPr="0022554A" w:rsidRDefault="00191A23" w:rsidP="00191A23">
            <w:pPr>
              <w:tabs>
                <w:tab w:val="left" w:pos="5400"/>
              </w:tabs>
              <w:rPr>
                <w:i/>
                <w:sz w:val="20"/>
              </w:rPr>
            </w:pPr>
            <w:r>
              <w:rPr>
                <w:sz w:val="20"/>
              </w:rPr>
              <w:t xml:space="preserve">Results, “Primary outcome,” “Secondary outcomes,” and “External validation,” Table 2, and Figure 2: numbers of deaths and crude and adjusted mortality are reported for 28-day, ICU, and in-hospital mortality and for delirium.</w:t>
            </w: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Pr>
                <w:i/>
                <w:sz w:val="20"/>
              </w:rPr>
              <w:t>Case-control study—</w:t>
            </w:r>
            <w:r>
              <w:rPr>
                <w:sz w:val="20"/>
              </w:rPr>
              <w:t>Report numbers in each exposure category, or summary measures of exposure</w:t>
            </w:r>
          </w:p>
        </w:tc>
        <w:tc>
          <w:tcPr>
            <w:tcW w:w="1276" w:type="dxa"/>
          </w:tcPr>
          <w:p w:rsidR="00191A23" w:rsidRPr="0022554A" w:rsidRDefault="00191A23" w:rsidP="00191A23">
            <w:pPr>
              <w:tabs>
                <w:tab w:val="left" w:pos="5400"/>
              </w:tabs>
              <w:rPr>
                <w:i/>
                <w:sz w:val="20"/>
              </w:rPr>
            </w:pP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Pr>
                <w:i/>
                <w:sz w:val="20"/>
              </w:rPr>
              <w:t>Cross-sectional study—</w:t>
            </w:r>
            <w:r>
              <w:rPr>
                <w:sz w:val="20"/>
              </w:rPr>
              <w:t>Report numbers of outcome events or summary measures</w:t>
            </w:r>
          </w:p>
        </w:tc>
        <w:tc>
          <w:tcPr>
            <w:tcW w:w="1276" w:type="dxa"/>
          </w:tcPr>
          <w:p w:rsidR="00191A23" w:rsidRDefault="00191A23" w:rsidP="00191A23">
            <w:pPr>
              <w:tabs>
                <w:tab w:val="left" w:pos="5400"/>
              </w:tabs>
              <w:rPr>
                <w:i/>
                <w:sz w:val="20"/>
              </w:rPr>
            </w:pPr>
          </w:p>
        </w:tc>
        <w:tc>
          <w:tcPr>
            <w:tcW w:w="3118" w:type="dxa"/>
          </w:tcPr>
          <w:p w:rsidR="00191A23" w:rsidRDefault="00191A23" w:rsidP="00191A23">
            <w:pPr>
              <w:tabs>
                <w:tab w:val="left" w:pos="5400"/>
              </w:tabs>
              <w:rPr>
                <w:i/>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Pr>
                <w:bCs/>
                <w:sz w:val="20"/>
              </w:rPr>
              <w:t>Main results</w:t>
            </w:r>
          </w:p>
        </w:tc>
        <w:tc>
          <w:tcPr>
            <w:tcW w:w="0" w:type="auto"/>
            <w:vMerge w:val="restart"/>
          </w:tcPr>
          <w:p w:rsidR="00191A23" w:rsidRPr="0022554A" w:rsidRDefault="00191A23" w:rsidP="00191A23">
            <w:pPr>
              <w:tabs>
                <w:tab w:val="left" w:pos="5400"/>
              </w:tabs>
              <w:jc w:val="center"/>
              <w:rPr>
                <w:sz w:val="20"/>
              </w:rPr>
            </w:pPr>
            <w:r>
              <w:rPr>
                <w:sz w:val="20"/>
              </w:rPr>
              <w:t>16</w:t>
            </w:r>
          </w:p>
        </w:tc>
        <w:tc>
          <w:tcPr>
            <w:tcW w:w="8328" w:type="dxa"/>
          </w:tcPr>
          <w:p w:rsidR="00191A23" w:rsidRPr="006149D3" w:rsidRDefault="00191A23" w:rsidP="00191A23">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276" w:type="dxa"/>
          </w:tcPr>
          <w:p w:rsidR="00191A23" w:rsidRPr="0022554A" w:rsidRDefault="00191A23" w:rsidP="00191A23">
            <w:pPr>
              <w:tabs>
                <w:tab w:val="left" w:pos="5400"/>
              </w:tabs>
              <w:rPr>
                <w:sz w:val="20"/>
              </w:rPr>
            </w:pPr>
            <w:r>
              <w:rPr>
                <w:sz w:val="20"/>
              </w:rPr>
              <w:t xml:space="preserve">10–12</w:t>
            </w:r>
          </w:p>
        </w:tc>
        <w:tc>
          <w:tcPr>
            <w:tcW w:w="3118" w:type="dxa"/>
          </w:tcPr>
          <w:p w:rsidR="00191A23" w:rsidRPr="0022554A" w:rsidRDefault="00191A23" w:rsidP="00191A23">
            <w:pPr>
              <w:tabs>
                <w:tab w:val="left" w:pos="5400"/>
              </w:tabs>
              <w:rPr>
                <w:sz w:val="20"/>
              </w:rPr>
            </w:pPr>
            <w:r>
              <w:rPr>
                <w:sz w:val="20"/>
              </w:rPr>
              <w:t xml:space="preserve">Results, “Primary outcome” and “External validation,” Table 2: crude mortality and IPTW-adjusted estimates (OR, HR, risk difference) with 95% confidence intervals are reported for all outcomes in both cohorts.</w:t>
            </w:r>
          </w:p>
        </w:tc>
      </w:tr>
      <w:tr w:rsidR="00191A23" w:rsidRPr="0022554A" w:rsidTr="00517788">
        <w:tc>
          <w:tcPr>
            <w:tcW w:w="0" w:type="auto"/>
            <w:vMerge/>
          </w:tcPr>
          <w:p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Pr>
                <w:sz w:val="20"/>
              </w:rPr>
              <w:t>(</w:t>
            </w:r>
            <w:r>
              <w:rPr>
                <w:i/>
                <w:sz w:val="20"/>
              </w:rPr>
              <w:t>b</w:t>
            </w:r>
            <w:r>
              <w:rPr>
                <w:sz w:val="20"/>
              </w:rPr>
              <w:t>) Report category boundaries when continuous variables were categorized</w:t>
            </w:r>
          </w:p>
        </w:tc>
        <w:tc>
          <w:tcPr>
            <w:tcW w:w="1276" w:type="dxa"/>
          </w:tcPr>
          <w:p w:rsidR="00191A23" w:rsidRPr="0022554A" w:rsidRDefault="00191A23" w:rsidP="00191A23">
            <w:pPr>
              <w:tabs>
                <w:tab w:val="left" w:pos="5400"/>
              </w:tabs>
              <w:rPr>
                <w:sz w:val="20"/>
              </w:rPr>
            </w:pPr>
            <w:r>
              <w:rPr>
                <w:sz w:val="20"/>
              </w:rPr>
              <w:t xml:space="preserve">8, 11</w:t>
            </w:r>
          </w:p>
        </w:tc>
        <w:tc>
          <w:tcPr>
            <w:tcW w:w="3118" w:type="dxa"/>
          </w:tcPr>
          <w:p w:rsidR="00191A23" w:rsidRPr="0022554A" w:rsidRDefault="00191A23" w:rsidP="00191A23">
            <w:pPr>
              <w:tabs>
                <w:tab w:val="left" w:pos="5400"/>
              </w:tabs>
              <w:rPr>
                <w:sz w:val="20"/>
              </w:rPr>
            </w:pPr>
            <w:r>
              <w:rPr>
                <w:sz w:val="20"/>
              </w:rPr>
              <w:t xml:space="preserve">Category boundaries are reported for SOFA score (≤ 6, 7–10, &gt; 10) and age (&lt; 65, ≥ 65 years) in the Methods and in Table 3.</w:t>
            </w:r>
          </w:p>
        </w:tc>
      </w:tr>
      <w:tr w:rsidR="00191A23" w:rsidRPr="0022554A" w:rsidTr="00517788">
        <w:tc>
          <w:tcPr>
            <w:tcW w:w="0" w:type="auto"/>
            <w:vMerge/>
          </w:tcPr>
          <w:p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276" w:type="dxa"/>
          </w:tcPr>
          <w:p w:rsidR="00191A23" w:rsidRPr="0022554A" w:rsidRDefault="00191A23" w:rsidP="00191A23">
            <w:pPr>
              <w:tabs>
                <w:tab w:val="left" w:pos="5400"/>
              </w:tabs>
              <w:rPr>
                <w:sz w:val="20"/>
              </w:rPr>
            </w:pPr>
            <w:r>
              <w:rPr>
                <w:sz w:val="20"/>
              </w:rPr>
              <w:t xml:space="preserve">10</w:t>
            </w:r>
          </w:p>
        </w:tc>
        <w:tc>
          <w:tcPr>
            <w:tcW w:w="3118" w:type="dxa"/>
          </w:tcPr>
          <w:p w:rsidR="00191A23" w:rsidRPr="0022554A" w:rsidRDefault="00191A23" w:rsidP="00191A23">
            <w:pPr>
              <w:tabs>
                <w:tab w:val="left" w:pos="5400"/>
              </w:tabs>
              <w:rPr>
                <w:sz w:val="20"/>
              </w:rPr>
            </w:pPr>
            <w:r>
              <w:rPr>
                <w:sz w:val="20"/>
              </w:rPr>
              <w:t xml:space="preserve">Results, “Primary outcome,” and Table 2: the effect on 28-day mortality is reported on the absolute scale as a risk difference of 15.4 percentage points alongside the odds ratio.</w:t>
            </w:r>
          </w:p>
        </w:tc>
      </w:tr>
    </w:tbl>
    <w:p w:rsidR="00191A23" w:rsidRDefault="00191A23">
      <w:bookmarkStart w:id="80" w:name="italic43"/>
      <w:bookmarkStart w:id="81" w:name="bold44"/>
      <w:bookmarkEnd w:id="78"/>
      <w:bookmarkEnd w:id="79"/>
      <w:r>
        <w:rPr>
          <w:sz w:val="16"/>
          <w:szCs w:val="16"/>
        </w:rPr>
        <w:t>Continued on next page</w:t>
      </w:r>
      <w:r>
        <w:t xml:space="preserve"> </w:t>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Pr>
                <w:bCs/>
                <w:sz w:val="20"/>
              </w:rPr>
              <w:lastRenderedPageBreak/>
              <w:t>Other analyses</w:t>
            </w:r>
            <w:bookmarkEnd w:id="80"/>
            <w:bookmarkEnd w:id="81"/>
          </w:p>
        </w:tc>
        <w:tc>
          <w:tcPr>
            <w:tcW w:w="0" w:type="auto"/>
          </w:tcPr>
          <w:p w:rsidR="00191A23" w:rsidRPr="0022554A" w:rsidRDefault="00191A23" w:rsidP="00191A23">
            <w:pPr>
              <w:tabs>
                <w:tab w:val="left" w:pos="5400"/>
              </w:tabs>
              <w:jc w:val="center"/>
              <w:rPr>
                <w:sz w:val="20"/>
              </w:rPr>
            </w:pPr>
            <w:r>
              <w:rPr>
                <w:sz w:val="20"/>
              </w:rPr>
              <w:t>17</w:t>
            </w:r>
          </w:p>
        </w:tc>
        <w:tc>
          <w:tcPr>
            <w:tcW w:w="8687" w:type="dxa"/>
          </w:tcPr>
          <w:p w:rsidR="00191A23" w:rsidRPr="0022554A" w:rsidRDefault="00191A23" w:rsidP="00191A23">
            <w:pPr>
              <w:tabs>
                <w:tab w:val="left" w:pos="5400"/>
              </w:tabs>
              <w:rPr>
                <w:sz w:val="20"/>
              </w:rPr>
            </w:pPr>
            <w:r>
              <w:rPr>
                <w:sz w:val="20"/>
              </w:rPr>
              <w:t>Report other analyses done—eg analyses of subgroups and interactions, and sensitivity analyses</w:t>
            </w:r>
          </w:p>
        </w:tc>
        <w:tc>
          <w:tcPr>
            <w:tcW w:w="1265" w:type="dxa"/>
          </w:tcPr>
          <w:p w:rsidR="00191A23" w:rsidRPr="0022554A" w:rsidRDefault="00191A23" w:rsidP="00191A23">
            <w:pPr>
              <w:tabs>
                <w:tab w:val="left" w:pos="5400"/>
              </w:tabs>
              <w:rPr>
                <w:sz w:val="20"/>
              </w:rPr>
            </w:pPr>
            <w:r>
              <w:rPr>
                <w:sz w:val="20"/>
              </w:rPr>
              <w:t xml:space="preserve">11–12</w:t>
            </w:r>
          </w:p>
        </w:tc>
        <w:tc>
          <w:tcPr>
            <w:tcW w:w="3129" w:type="dxa"/>
          </w:tcPr>
          <w:p w:rsidR="00191A23" w:rsidRPr="0022554A" w:rsidRDefault="00191A23" w:rsidP="00191A23">
            <w:pPr>
              <w:tabs>
                <w:tab w:val="left" w:pos="5400"/>
              </w:tabs>
              <w:rPr>
                <w:sz w:val="20"/>
              </w:rPr>
            </w:pPr>
            <w:r>
              <w:rPr>
                <w:sz w:val="20"/>
              </w:rPr>
              <w:t xml:space="preserve">Results, “Sensitivity analyses” and “Subgroup analyses,” Tables 2 and 3, Figure 3: propensity score matching, multiple imputation, the E-value, and four prespecified subgroup analyses with interaction tests are reported.</w:t>
            </w: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2" w:name="italic44"/>
            <w:bookmarkStart w:id="83" w:name="bold45"/>
            <w:r>
              <w:rPr>
                <w:sz w:val="20"/>
              </w:rPr>
              <w:t>Discussion</w:t>
            </w:r>
            <w:bookmarkEnd w:id="82"/>
            <w:bookmarkEnd w:id="83"/>
          </w:p>
        </w:tc>
      </w:tr>
      <w:tr w:rsidR="00191A23" w:rsidRPr="0022554A" w:rsidTr="00517788">
        <w:tc>
          <w:tcPr>
            <w:tcW w:w="0" w:type="auto"/>
          </w:tcPr>
          <w:p w:rsidR="00191A23" w:rsidRPr="0022554A" w:rsidRDefault="00191A23" w:rsidP="00191A23">
            <w:pPr>
              <w:tabs>
                <w:tab w:val="left" w:pos="5400"/>
              </w:tabs>
              <w:rPr>
                <w:bCs/>
                <w:sz w:val="20"/>
              </w:rPr>
            </w:pPr>
            <w:bookmarkStart w:id="84" w:name="italic45" w:colFirst="0" w:colLast="0"/>
            <w:bookmarkStart w:id="85" w:name="bold46" w:colFirst="0" w:colLast="0"/>
            <w:r>
              <w:rPr>
                <w:bCs/>
                <w:sz w:val="20"/>
              </w:rPr>
              <w:t>Key results</w:t>
            </w:r>
          </w:p>
        </w:tc>
        <w:tc>
          <w:tcPr>
            <w:tcW w:w="0" w:type="auto"/>
          </w:tcPr>
          <w:p w:rsidR="00191A23" w:rsidRPr="0022554A" w:rsidRDefault="00191A23" w:rsidP="00191A23">
            <w:pPr>
              <w:tabs>
                <w:tab w:val="left" w:pos="5400"/>
              </w:tabs>
              <w:jc w:val="center"/>
              <w:rPr>
                <w:sz w:val="20"/>
              </w:rPr>
            </w:pPr>
            <w:r>
              <w:rPr>
                <w:sz w:val="20"/>
              </w:rPr>
              <w:t>18</w:t>
            </w:r>
          </w:p>
        </w:tc>
        <w:tc>
          <w:tcPr>
            <w:tcW w:w="8687" w:type="dxa"/>
          </w:tcPr>
          <w:p w:rsidR="00191A23" w:rsidRPr="0022554A" w:rsidRDefault="00191A23" w:rsidP="00191A23">
            <w:pPr>
              <w:tabs>
                <w:tab w:val="left" w:pos="5400"/>
              </w:tabs>
              <w:rPr>
                <w:sz w:val="20"/>
              </w:rPr>
            </w:pPr>
            <w:r>
              <w:rPr>
                <w:sz w:val="20"/>
              </w:rPr>
              <w:t>Summarise key results with reference to study objectives</w:t>
            </w:r>
          </w:p>
        </w:tc>
        <w:tc>
          <w:tcPr>
            <w:tcW w:w="1265" w:type="dxa"/>
          </w:tcPr>
          <w:p w:rsidR="00191A23" w:rsidRPr="0022554A" w:rsidRDefault="00191A23" w:rsidP="00191A23">
            <w:pPr>
              <w:tabs>
                <w:tab w:val="left" w:pos="5400"/>
              </w:tabs>
              <w:rPr>
                <w:sz w:val="20"/>
              </w:rPr>
            </w:pPr>
            <w:r>
              <w:rPr>
                <w:sz w:val="20"/>
              </w:rPr>
              <w:t xml:space="preserve">13</w:t>
            </w:r>
          </w:p>
        </w:tc>
        <w:tc>
          <w:tcPr>
            <w:tcW w:w="3129" w:type="dxa"/>
          </w:tcPr>
          <w:p w:rsidR="00191A23" w:rsidRPr="0022554A" w:rsidRDefault="00191A23" w:rsidP="00191A23">
            <w:pPr>
              <w:tabs>
                <w:tab w:val="left" w:pos="5400"/>
              </w:tabs>
              <w:rPr>
                <w:sz w:val="20"/>
              </w:rPr>
            </w:pPr>
            <w:r>
              <w:rPr>
                <w:sz w:val="20"/>
              </w:rPr>
              <w:t xml:space="preserve">Discussion (opening paragraph) and Conclusions: the key result—higher 28-day mortality with deep sedation (OR 2.37), reproduced in the validation cohort—is summarised with reference to the study objectives.</w:t>
            </w:r>
          </w:p>
        </w:tc>
      </w:tr>
      <w:tr w:rsidR="00191A23" w:rsidRPr="0022554A" w:rsidTr="00517788">
        <w:tc>
          <w:tcPr>
            <w:tcW w:w="0" w:type="auto"/>
          </w:tcPr>
          <w:p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Pr>
                <w:bCs/>
                <w:sz w:val="20"/>
              </w:rPr>
              <w:t>Limitations</w:t>
            </w:r>
          </w:p>
        </w:tc>
        <w:tc>
          <w:tcPr>
            <w:tcW w:w="0" w:type="auto"/>
          </w:tcPr>
          <w:p w:rsidR="00191A23" w:rsidRPr="0022554A" w:rsidRDefault="00191A23" w:rsidP="00191A23">
            <w:pPr>
              <w:tabs>
                <w:tab w:val="left" w:pos="5400"/>
              </w:tabs>
              <w:jc w:val="center"/>
              <w:rPr>
                <w:sz w:val="20"/>
              </w:rPr>
            </w:pPr>
            <w:r>
              <w:rPr>
                <w:sz w:val="20"/>
              </w:rPr>
              <w:t>19</w:t>
            </w:r>
          </w:p>
        </w:tc>
        <w:tc>
          <w:tcPr>
            <w:tcW w:w="8687" w:type="dxa"/>
          </w:tcPr>
          <w:p w:rsidR="00191A23" w:rsidRPr="0022554A" w:rsidRDefault="00191A23" w:rsidP="00191A23">
            <w:pPr>
              <w:tabs>
                <w:tab w:val="left" w:pos="5400"/>
              </w:tabs>
              <w:rPr>
                <w:sz w:val="20"/>
              </w:rPr>
            </w:pPr>
            <w:r>
              <w:rPr>
                <w:sz w:val="20"/>
              </w:rPr>
              <w:t>Discuss limitations of the study, taking into account sources of potential bias or imprecision. Discuss both direction and magnitude of any potential bias</w:t>
            </w:r>
          </w:p>
        </w:tc>
        <w:tc>
          <w:tcPr>
            <w:tcW w:w="1265" w:type="dxa"/>
          </w:tcPr>
          <w:p w:rsidR="00191A23" w:rsidRPr="0022554A" w:rsidRDefault="00191A23" w:rsidP="00191A23">
            <w:pPr>
              <w:tabs>
                <w:tab w:val="left" w:pos="5400"/>
              </w:tabs>
              <w:rPr>
                <w:sz w:val="20"/>
              </w:rPr>
            </w:pPr>
            <w:r>
              <w:rPr>
                <w:sz w:val="20"/>
              </w:rPr>
              <w:t xml:space="preserve">15–17</w:t>
            </w:r>
          </w:p>
        </w:tc>
        <w:tc>
          <w:tcPr>
            <w:tcW w:w="3129" w:type="dxa"/>
          </w:tcPr>
          <w:p w:rsidR="00191A23" w:rsidRPr="0022554A" w:rsidRDefault="00191A23" w:rsidP="00191A23">
            <w:pPr>
              <w:tabs>
                <w:tab w:val="left" w:pos="5400"/>
              </w:tabs>
              <w:rPr>
                <w:sz w:val="20"/>
              </w:rPr>
            </w:pPr>
            <w:r>
              <w:rPr>
                <w:sz w:val="20"/>
              </w:rPr>
              <w:t xml:space="preserve">Discussion (Limitations): observational design and residual confounding, exposure misclassification, the 48-h survivor requirement, violation of proportional hazards, ascertainment bias for delirium, and the reduced validation-cohort model are discussed.</w:t>
            </w:r>
          </w:p>
        </w:tc>
      </w:tr>
      <w:tr w:rsidR="00191A23" w:rsidRPr="0022554A" w:rsidTr="00517788">
        <w:tc>
          <w:tcPr>
            <w:tcW w:w="0" w:type="auto"/>
          </w:tcPr>
          <w:p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Pr>
                <w:bCs/>
                <w:sz w:val="20"/>
              </w:rPr>
              <w:t>Interpretation</w:t>
            </w:r>
          </w:p>
        </w:tc>
        <w:tc>
          <w:tcPr>
            <w:tcW w:w="0" w:type="auto"/>
          </w:tcPr>
          <w:p w:rsidR="00191A23" w:rsidRPr="0022554A" w:rsidRDefault="00191A23" w:rsidP="00191A23">
            <w:pPr>
              <w:tabs>
                <w:tab w:val="left" w:pos="5400"/>
              </w:tabs>
              <w:jc w:val="center"/>
              <w:rPr>
                <w:sz w:val="20"/>
              </w:rPr>
            </w:pPr>
            <w:r>
              <w:rPr>
                <w:sz w:val="20"/>
              </w:rPr>
              <w:t>20</w:t>
            </w:r>
          </w:p>
        </w:tc>
        <w:tc>
          <w:tcPr>
            <w:tcW w:w="8687" w:type="dxa"/>
          </w:tcPr>
          <w:p w:rsidR="00191A23" w:rsidRPr="0022554A" w:rsidRDefault="00191A23" w:rsidP="00191A23">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191A23" w:rsidP="00191A23">
            <w:pPr>
              <w:tabs>
                <w:tab w:val="left" w:pos="5400"/>
              </w:tabs>
              <w:rPr>
                <w:sz w:val="20"/>
              </w:rPr>
            </w:pPr>
            <w:r>
              <w:rPr>
                <w:sz w:val="20"/>
              </w:rPr>
              <w:t xml:space="preserve">13–17</w:t>
            </w:r>
          </w:p>
        </w:tc>
        <w:tc>
          <w:tcPr>
            <w:tcW w:w="3129" w:type="dxa"/>
          </w:tcPr>
          <w:p w:rsidR="00191A23" w:rsidRPr="0022554A" w:rsidRDefault="00191A23" w:rsidP="00191A23">
            <w:pPr>
              <w:tabs>
                <w:tab w:val="left" w:pos="5400"/>
              </w:tabs>
              <w:rPr>
                <w:sz w:val="20"/>
              </w:rPr>
            </w:pPr>
            <w:r>
              <w:rPr>
                <w:sz w:val="20"/>
              </w:rPr>
              <w:t xml:space="preserve">Discussion: a cautious interpretation is given, emphasising that direction and consistency are more secure than the precise magnitude, that subgroup findings are hypothesis-generating, and that the design precludes a definitive causal conclusion.</w:t>
            </w:r>
          </w:p>
        </w:tc>
      </w:tr>
      <w:tr w:rsidR="00191A23" w:rsidRPr="0022554A" w:rsidTr="00517788">
        <w:tc>
          <w:tcPr>
            <w:tcW w:w="0" w:type="auto"/>
          </w:tcPr>
          <w:p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Pr>
                <w:bCs/>
                <w:sz w:val="20"/>
              </w:rPr>
              <w:t>Generalisability</w:t>
            </w:r>
          </w:p>
        </w:tc>
        <w:tc>
          <w:tcPr>
            <w:tcW w:w="0" w:type="auto"/>
          </w:tcPr>
          <w:p w:rsidR="00191A23" w:rsidRPr="0022554A" w:rsidRDefault="00191A23" w:rsidP="00191A23">
            <w:pPr>
              <w:tabs>
                <w:tab w:val="left" w:pos="5400"/>
              </w:tabs>
              <w:jc w:val="center"/>
              <w:rPr>
                <w:sz w:val="20"/>
              </w:rPr>
            </w:pPr>
            <w:r>
              <w:rPr>
                <w:sz w:val="20"/>
              </w:rPr>
              <w:t>21</w:t>
            </w:r>
          </w:p>
        </w:tc>
        <w:tc>
          <w:tcPr>
            <w:tcW w:w="8687" w:type="dxa"/>
          </w:tcPr>
          <w:p w:rsidR="00191A23" w:rsidRPr="0022554A" w:rsidRDefault="00191A23" w:rsidP="00191A23">
            <w:pPr>
              <w:tabs>
                <w:tab w:val="left" w:pos="5400"/>
              </w:tabs>
              <w:rPr>
                <w:sz w:val="20"/>
              </w:rPr>
            </w:pPr>
            <w:r>
              <w:rPr>
                <w:sz w:val="20"/>
              </w:rPr>
              <w:t>Discuss the generalisability (external validity) of the study results</w:t>
            </w:r>
          </w:p>
        </w:tc>
        <w:tc>
          <w:tcPr>
            <w:tcW w:w="1265" w:type="dxa"/>
          </w:tcPr>
          <w:p w:rsidR="00191A23" w:rsidRPr="0022554A" w:rsidRDefault="00191A23" w:rsidP="00191A23">
            <w:pPr>
              <w:tabs>
                <w:tab w:val="left" w:pos="5400"/>
              </w:tabs>
              <w:rPr>
                <w:sz w:val="20"/>
              </w:rPr>
            </w:pPr>
            <w:r>
              <w:rPr>
                <w:sz w:val="20"/>
              </w:rPr>
              <w:t xml:space="preserve">14</w:t>
            </w:r>
          </w:p>
        </w:tc>
        <w:tc>
          <w:tcPr>
            <w:tcW w:w="3129" w:type="dxa"/>
          </w:tcPr>
          <w:p w:rsidR="00191A23" w:rsidRPr="0022554A" w:rsidRDefault="00191A23" w:rsidP="00191A23">
            <w:pPr>
              <w:tabs>
                <w:tab w:val="left" w:pos="5400"/>
              </w:tabs>
              <w:rPr>
                <w:sz w:val="20"/>
              </w:rPr>
            </w:pPr>
            <w:r>
              <w:rPr>
                <w:sz w:val="20"/>
              </w:rPr>
              <w:t xml:space="preserve">Discussion: external validity is addressed through replication in the eICU-CRD cohort drawn from 35 hospitals, with explicit discussion of differences in case mix, sepsis definition, and outcome ascertainment between the cohorts.</w:t>
            </w: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2" w:name="italic49"/>
            <w:bookmarkStart w:id="93" w:name="bold50"/>
            <w:bookmarkEnd w:id="90"/>
            <w:bookmarkEnd w:id="91"/>
            <w:r>
              <w:rPr>
                <w:sz w:val="20"/>
              </w:rPr>
              <w:t>Other information</w:t>
            </w:r>
          </w:p>
        </w:tc>
        <w:bookmarkEnd w:id="92"/>
        <w:bookmarkEnd w:id="93"/>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4" w:name="italic50" w:colFirst="0" w:colLast="0"/>
            <w:bookmarkStart w:id="95" w:name="bold51" w:colFirst="0" w:colLast="0"/>
            <w:r>
              <w:rPr>
                <w:bCs/>
                <w:sz w:val="20"/>
              </w:rPr>
              <w:t>Funding</w:t>
            </w:r>
          </w:p>
        </w:tc>
        <w:tc>
          <w:tcPr>
            <w:tcW w:w="0" w:type="auto"/>
          </w:tcPr>
          <w:p w:rsidR="00191A23" w:rsidRPr="0022554A" w:rsidRDefault="00191A23" w:rsidP="00191A23">
            <w:pPr>
              <w:tabs>
                <w:tab w:val="left" w:pos="5400"/>
              </w:tabs>
              <w:jc w:val="center"/>
              <w:rPr>
                <w:sz w:val="20"/>
              </w:rPr>
            </w:pPr>
            <w:r>
              <w:rPr>
                <w:sz w:val="20"/>
              </w:rPr>
              <w:t>22</w:t>
            </w:r>
          </w:p>
        </w:tc>
        <w:tc>
          <w:tcPr>
            <w:tcW w:w="8687" w:type="dxa"/>
          </w:tcPr>
          <w:p w:rsidR="00191A23" w:rsidRPr="0022554A" w:rsidRDefault="00191A23" w:rsidP="00191A23">
            <w:pPr>
              <w:tabs>
                <w:tab w:val="left" w:pos="5400"/>
              </w:tabs>
              <w:rPr>
                <w:sz w:val="20"/>
              </w:rPr>
            </w:pPr>
            <w:r>
              <w:rPr>
                <w:sz w:val="20"/>
              </w:rPr>
              <w:t>Give the source of funding and the role of the funders for the present study and, if applicable, for the original study on which the present article is based</w:t>
            </w:r>
          </w:p>
        </w:tc>
        <w:tc>
          <w:tcPr>
            <w:tcW w:w="1265" w:type="dxa"/>
          </w:tcPr>
          <w:p w:rsidR="00191A23" w:rsidRPr="0022554A" w:rsidRDefault="00191A23" w:rsidP="00191A23">
            <w:pPr>
              <w:tabs>
                <w:tab w:val="left" w:pos="5400"/>
              </w:tabs>
              <w:rPr>
                <w:sz w:val="20"/>
              </w:rPr>
            </w:pPr>
            <w:r>
              <w:rPr>
                <w:sz w:val="20"/>
              </w:rPr>
              <w:t xml:space="preserve">18</w:t>
            </w:r>
          </w:p>
        </w:tc>
        <w:tc>
          <w:tcPr>
            <w:tcW w:w="3129" w:type="dxa"/>
          </w:tcPr>
          <w:p w:rsidR="00191A23" w:rsidRPr="0022554A" w:rsidRDefault="00191A23" w:rsidP="00191A23">
            <w:pPr>
              <w:tabs>
                <w:tab w:val="left" w:pos="5400"/>
              </w:tabs>
              <w:rPr>
                <w:sz w:val="20"/>
              </w:rPr>
            </w:pPr>
            <w:r>
              <w:rPr>
                <w:sz w:val="20"/>
              </w:rPr>
              <w:t xml:space="preserve">Declarations, “Funding”: the study received no specific grant from any funding agency in the public, commercial, or not-for-profit sectors.</w:t>
            </w:r>
          </w:p>
        </w:tc>
      </w:tr>
      <w:bookmarkEnd w:id="94"/>
      <w:bookmarkEnd w:id="95"/>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w:t>
      </w:r>
      <w:bookmarkStart w:id="96" w:name="_GoBack"/>
      <w:bookmarkEnd w:id="96"/>
      <w:r>
        <w:rPr>
          <w:sz w:val="20"/>
        </w:rPr>
        <w:t>s.org/, and Epidemiology at http://www.epidem.com/). Information on the STROBE Initiative is available at www.</w:t>
      </w:r>
      <w:smartTag w:uri="urn:schemas-microsoft-com:office:smarttags" w:element="PersonName">
        <w:r>
          <w:rPr>
            <w:sz w:val="20"/>
          </w:rPr>
          <w:t>strobe</w:t>
        </w:r>
      </w:smartTag>
      <w:r>
        <w:rPr>
          <w:sz w:val="20"/>
        </w:rPr>
        <w:t>-statement.org.</w:t>
      </w:r>
    </w:p>
    <w:sectPr w:rsidR="00A42352" w:rsidRPr="002602FB" w:rsidSect="00191A23">
      <w:footerReference w:type="even" r:id="rId8"/>
      <w:footerReference w:type="default" r:id="rId9"/>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BEA" w:rsidRDefault="00407BEA">
      <w:r>
        <w:separator/>
      </w:r>
    </w:p>
  </w:endnote>
  <w:endnote w:type="continuationSeparator" w:id="0">
    <w:p w:rsidR="00407BEA" w:rsidRDefault="0040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C96" w:rsidRDefault="00A13C96"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rsidR="00A13C96" w:rsidRDefault="00A13C96" w:rsidP="005D0C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BEA" w:rsidRDefault="00407BEA">
      <w:r>
        <w:separator/>
      </w:r>
    </w:p>
  </w:footnote>
  <w:footnote w:type="continuationSeparator" w:id="0">
    <w:p w:rsidR="00407BEA" w:rsidRDefault="00407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3</Pages>
  <Words>829</Words>
  <Characters>4731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Cevallos Myriam</cp:lastModifiedBy>
  <cp:revision>2</cp:revision>
  <cp:lastPrinted>2014-09-01T08:36:00Z</cp:lastPrinted>
  <dcterms:created xsi:type="dcterms:W3CDTF">2014-09-01T14:20:00Z</dcterms:created>
  <dcterms:modified xsi:type="dcterms:W3CDTF">2014-09-01T14:20:00Z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