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Supplementary Material</w:t>
      </w:r>
    </w:p>
    <w:p>
      <w:pPr>
        <w:pStyle w:val="Heading1"/>
      </w:pPr>
      <w:r>
        <w:t>Source structure and site leverage reverse pooled archaeological human δ³⁴S–latitude regressions</w:t>
      </w:r>
    </w:p>
    <w:p>
      <w:r>
        <w:rPr>
          <w:b/>
        </w:rPr>
        <w:t>Supplementary Figure S1.</w:t>
      </w:r>
      <w:r>
        <w:t xml:space="preserve"> Leave-one-site-out (LOSO) influence diagnostic on every archaeological site contributing at least three δ³⁴S records (n = 116 sites). </w:t>
      </w:r>
      <w:r>
        <w:rPr>
          <w:b/>
        </w:rPr>
        <w:t>Left:</w:t>
      </w:r>
      <w:r>
        <w:t xml:space="preserve"> top 20 sites ranked by |Δβ| on the source-controlled latitude coefficient when that site is dropped from the pooled fit. Tibanica (red, n = 193) is the only site whose removal shifts the global latitude coefficient by more than 0.04 ‰ per °. The next-most-influential site (Queenford Farm, n = 77, Isotòpia) shifts the coefficient by only 0.030 ‰ per °, a factor of 3.8 below Tibanica. </w:t>
      </w:r>
      <w:r>
        <w:rPr>
          <w:b/>
        </w:rPr>
        <w:t>Right:</w:t>
      </w:r>
      <w:r>
        <w:t xml:space="preserve"> the same |Δβ| values plotted against each site's sample size (log scale). Other large-n sites (Queenford Farm, Wetwang Slack, Hofstaðir, Camarones 9) cluster well below Tibanica; site sample size alone is therefore not a sufficient predictor of single-site influence on the pooled regression. Generated by </w:t>
      </w:r>
      <w:r>
        <w:rPr>
          <w:rFonts w:ascii="Consolas" w:hAnsi="Consolas"/>
          <w:sz w:val="20"/>
        </w:rPr>
        <w:t>06_loso_diagnostic.py</w:t>
      </w:r>
      <w:r>
        <w:t>.</w:t>
      </w:r>
    </w:p>
    <w:p>
      <w:r>
        <w:rPr>
          <w:b/>
        </w:rPr>
        <w:t>Supplementary Table S1.</w:t>
      </w:r>
      <w:r>
        <w:t xml:space="preserve"> Site-level robustness check. Every (source, site) combination is collapsed to a single row (mean δ³⁴S and mean latitude); the source-controlled OLS is then refitted on the resulting 150 site-mean observations. Generated by </w:t>
      </w:r>
      <w:r>
        <w:rPr>
          <w:rFonts w:ascii="Consolas" w:hAnsi="Consolas"/>
          <w:sz w:val="20"/>
        </w:rPr>
        <w:t>07_site_level_robustness.py</w:t>
      </w:r>
      <w:r>
        <w:t>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Fit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n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Slope (‰ per °)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SE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p</w:t>
            </w:r>
          </w:p>
        </w:tc>
      </w:tr>
      <w:tr>
        <w:tc>
          <w:tcPr>
            <w:tcW w:type="dxa" w:w="1728"/>
          </w:tcPr>
          <w:p>
            <w:r/>
            <w:r>
              <w:t>Row-level OLS (baseline)</w:t>
            </w:r>
          </w:p>
        </w:tc>
        <w:tc>
          <w:tcPr>
            <w:tcW w:type="dxa" w:w="1728"/>
          </w:tcPr>
          <w:p>
            <w:r/>
            <w:r>
              <w:t>2,215</w:t>
            </w:r>
          </w:p>
        </w:tc>
        <w:tc>
          <w:tcPr>
            <w:tcW w:type="dxa" w:w="1728"/>
          </w:tcPr>
          <w:p>
            <w:r/>
            <w:r>
              <w:t>−0.297</w:t>
            </w:r>
          </w:p>
        </w:tc>
        <w:tc>
          <w:tcPr>
            <w:tcW w:type="dxa" w:w="1728"/>
          </w:tcPr>
          <w:p>
            <w:r/>
            <w:r>
              <w:t>0.014</w:t>
            </w:r>
          </w:p>
        </w:tc>
        <w:tc>
          <w:tcPr>
            <w:tcW w:type="dxa" w:w="1728"/>
          </w:tcPr>
          <w:p>
            <w:r/>
            <w:r>
              <w:t>2.9 × 10⁻⁹⁶</w:t>
            </w:r>
          </w:p>
        </w:tc>
      </w:tr>
      <w:tr>
        <w:tc>
          <w:tcPr>
            <w:tcW w:type="dxa" w:w="1728"/>
          </w:tcPr>
          <w:p>
            <w:r/>
            <w:r>
              <w:t>Site-level OLS (unweighted means)</w:t>
            </w:r>
          </w:p>
        </w:tc>
        <w:tc>
          <w:tcPr>
            <w:tcW w:type="dxa" w:w="1728"/>
          </w:tcPr>
          <w:p>
            <w:r/>
            <w:r>
              <w:t>150</w:t>
            </w:r>
          </w:p>
        </w:tc>
        <w:tc>
          <w:tcPr>
            <w:tcW w:type="dxa" w:w="1728"/>
          </w:tcPr>
          <w:p>
            <w:r/>
            <w:r>
              <w:t>−0.161</w:t>
            </w:r>
          </w:p>
        </w:tc>
        <w:tc>
          <w:tcPr>
            <w:tcW w:type="dxa" w:w="1728"/>
          </w:tcPr>
          <w:p>
            <w:r/>
            <w:r>
              <w:t>0.056</w:t>
            </w:r>
          </w:p>
        </w:tc>
        <w:tc>
          <w:tcPr>
            <w:tcW w:type="dxa" w:w="1728"/>
          </w:tcPr>
          <w:p>
            <w:r/>
            <w:r>
              <w:t>4.9 × 10⁻³</w:t>
            </w:r>
          </w:p>
        </w:tc>
      </w:tr>
      <w:tr>
        <w:tc>
          <w:tcPr>
            <w:tcW w:type="dxa" w:w="1728"/>
          </w:tcPr>
          <w:p>
            <w:r/>
            <w:r>
              <w:t>Site-level WLS (weights = √n_records)</w:t>
            </w:r>
          </w:p>
        </w:tc>
        <w:tc>
          <w:tcPr>
            <w:tcW w:type="dxa" w:w="1728"/>
          </w:tcPr>
          <w:p>
            <w:r/>
            <w:r>
              <w:t>150</w:t>
            </w:r>
          </w:p>
        </w:tc>
        <w:tc>
          <w:tcPr>
            <w:tcW w:type="dxa" w:w="1728"/>
          </w:tcPr>
          <w:p>
            <w:r/>
            <w:r>
              <w:t>−0.248</w:t>
            </w:r>
          </w:p>
        </w:tc>
        <w:tc>
          <w:tcPr>
            <w:tcW w:type="dxa" w:w="1728"/>
          </w:tcPr>
          <w:p>
            <w:r/>
            <w:r>
              <w:t>0.051</w:t>
            </w:r>
          </w:p>
        </w:tc>
        <w:tc>
          <w:tcPr>
            <w:tcW w:type="dxa" w:w="1728"/>
          </w:tcPr>
          <w:p>
            <w:r/>
            <w:r>
              <w:t>2.8 × 10⁻⁶</w:t>
            </w:r>
          </w:p>
        </w:tc>
      </w:tr>
      <w:tr>
        <w:tc>
          <w:tcPr>
            <w:tcW w:type="dxa" w:w="1728"/>
          </w:tcPr>
          <w:p>
            <w:r/>
            <w:r>
              <w:t>Site-level OLS without Tibanica</w:t>
            </w:r>
          </w:p>
        </w:tc>
        <w:tc>
          <w:tcPr>
            <w:tcW w:type="dxa" w:w="1728"/>
          </w:tcPr>
          <w:p>
            <w:r/>
            <w:r>
              <w:t>149</w:t>
            </w:r>
          </w:p>
        </w:tc>
        <w:tc>
          <w:tcPr>
            <w:tcW w:type="dxa" w:w="1728"/>
          </w:tcPr>
          <w:p>
            <w:r/>
            <w:r>
              <w:t>−0.120</w:t>
            </w:r>
          </w:p>
        </w:tc>
        <w:tc>
          <w:tcPr>
            <w:tcW w:type="dxa" w:w="1728"/>
          </w:tcPr>
          <w:p>
            <w:r/>
            <w:r>
              <w:t>—</w:t>
            </w:r>
          </w:p>
        </w:tc>
        <w:tc>
          <w:tcPr>
            <w:tcW w:type="dxa" w:w="1728"/>
          </w:tcPr>
          <w:p>
            <w:r/>
            <w:r>
              <w:t>4.0 × 10⁻²</w:t>
            </w:r>
          </w:p>
        </w:tc>
      </w:tr>
    </w:tbl>
    <w:p>
      <w:r>
        <w:t>Per-source within-source site-level slopes (geographically extended sources only):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Source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n_sites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Slope (‰ per °)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SE</w:t>
            </w:r>
          </w:p>
        </w:tc>
        <w:tc>
          <w:tcPr>
            <w:tcW w:type="dxa" w:w="1728"/>
          </w:tcPr>
          <w:p>
            <w:r>
              <w:rPr>
                <w:b/>
              </w:rPr>
            </w:r>
            <w:r>
              <w:rPr>
                <w:b/>
              </w:rPr>
              <w:t>p</w:t>
            </w:r>
          </w:p>
        </w:tc>
      </w:tr>
      <w:tr>
        <w:tc>
          <w:tcPr>
            <w:tcW w:type="dxa" w:w="1728"/>
          </w:tcPr>
          <w:p>
            <w:r/>
            <w:r>
              <w:t>MAIA</w:t>
            </w:r>
          </w:p>
        </w:tc>
        <w:tc>
          <w:tcPr>
            <w:tcW w:type="dxa" w:w="1728"/>
          </w:tcPr>
          <w:p>
            <w:r/>
            <w:r>
              <w:t>27</w:t>
            </w:r>
          </w:p>
        </w:tc>
        <w:tc>
          <w:tcPr>
            <w:tcW w:type="dxa" w:w="1728"/>
          </w:tcPr>
          <w:p>
            <w:r/>
            <w:r>
              <w:t>−0.580</w:t>
            </w:r>
          </w:p>
        </w:tc>
        <w:tc>
          <w:tcPr>
            <w:tcW w:type="dxa" w:w="1728"/>
          </w:tcPr>
          <w:p>
            <w:r/>
            <w:r>
              <w:t>0.203</w:t>
            </w:r>
          </w:p>
        </w:tc>
        <w:tc>
          <w:tcPr>
            <w:tcW w:type="dxa" w:w="1728"/>
          </w:tcPr>
          <w:p>
            <w:r/>
            <w:r>
              <w:t>8.5 × 10⁻³</w:t>
            </w:r>
          </w:p>
        </w:tc>
      </w:tr>
      <w:tr>
        <w:tc>
          <w:tcPr>
            <w:tcW w:type="dxa" w:w="1728"/>
          </w:tcPr>
          <w:p>
            <w:r/>
            <w:r>
              <w:t>SAAID</w:t>
            </w:r>
          </w:p>
        </w:tc>
        <w:tc>
          <w:tcPr>
            <w:tcW w:type="dxa" w:w="1728"/>
          </w:tcPr>
          <w:p>
            <w:r/>
            <w:r>
              <w:t>32</w:t>
            </w:r>
          </w:p>
        </w:tc>
        <w:tc>
          <w:tcPr>
            <w:tcW w:type="dxa" w:w="1728"/>
          </w:tcPr>
          <w:p>
            <w:r/>
            <w:r>
              <w:t>−0.286</w:t>
            </w:r>
          </w:p>
        </w:tc>
        <w:tc>
          <w:tcPr>
            <w:tcW w:type="dxa" w:w="1728"/>
          </w:tcPr>
          <w:p>
            <w:r/>
            <w:r>
              <w:t>0.148</w:t>
            </w:r>
          </w:p>
        </w:tc>
        <w:tc>
          <w:tcPr>
            <w:tcW w:type="dxa" w:w="1728"/>
          </w:tcPr>
          <w:p>
            <w:r/>
            <w:r>
              <w:t>6.4 × 10⁻²</w:t>
            </w:r>
          </w:p>
        </w:tc>
      </w:tr>
      <w:tr>
        <w:tc>
          <w:tcPr>
            <w:tcW w:type="dxa" w:w="1728"/>
          </w:tcPr>
          <w:p>
            <w:r/>
            <w:r>
              <w:t>Isotòpia</w:t>
            </w:r>
          </w:p>
        </w:tc>
        <w:tc>
          <w:tcPr>
            <w:tcW w:type="dxa" w:w="1728"/>
          </w:tcPr>
          <w:p>
            <w:r/>
            <w:r>
              <w:t>37</w:t>
            </w:r>
          </w:p>
        </w:tc>
        <w:tc>
          <w:tcPr>
            <w:tcW w:type="dxa" w:w="1728"/>
          </w:tcPr>
          <w:p>
            <w:r/>
            <w:r>
              <w:t>−0.128</w:t>
            </w:r>
          </w:p>
        </w:tc>
        <w:tc>
          <w:tcPr>
            <w:tcW w:type="dxa" w:w="1728"/>
          </w:tcPr>
          <w:p>
            <w:r/>
            <w:r>
              <w:t>0.181</w:t>
            </w:r>
          </w:p>
        </w:tc>
        <w:tc>
          <w:tcPr>
            <w:tcW w:type="dxa" w:w="1728"/>
          </w:tcPr>
          <w:p>
            <w:r/>
            <w:r>
              <w:t>4.8 × 10⁻¹</w:t>
            </w:r>
          </w:p>
        </w:tc>
      </w:tr>
      <w:tr>
        <w:tc>
          <w:tcPr>
            <w:tcW w:type="dxa" w:w="1728"/>
          </w:tcPr>
          <w:p>
            <w:r/>
            <w:r>
              <w:t>CIMA</w:t>
            </w:r>
          </w:p>
        </w:tc>
        <w:tc>
          <w:tcPr>
            <w:tcW w:type="dxa" w:w="1728"/>
          </w:tcPr>
          <w:p>
            <w:r/>
            <w:r>
              <w:t>40</w:t>
            </w:r>
          </w:p>
        </w:tc>
        <w:tc>
          <w:tcPr>
            <w:tcW w:type="dxa" w:w="1728"/>
          </w:tcPr>
          <w:p>
            <w:r/>
            <w:r>
              <w:t>−0.084</w:t>
            </w:r>
          </w:p>
        </w:tc>
        <w:tc>
          <w:tcPr>
            <w:tcW w:type="dxa" w:w="1728"/>
          </w:tcPr>
          <w:p>
            <w:r/>
            <w:r>
              <w:t>0.057</w:t>
            </w:r>
          </w:p>
        </w:tc>
        <w:tc>
          <w:tcPr>
            <w:tcW w:type="dxa" w:w="1728"/>
          </w:tcPr>
          <w:p>
            <w:r/>
            <w:r>
              <w:t>1.5 × 10⁻¹</w:t>
            </w:r>
          </w:p>
        </w:tc>
      </w:tr>
    </w:tbl>
    <w:p>
      <w:r>
        <w:t>All four within-source site-level slopes are negative in sign; two of the four reach conventional significance after aggregation, the other two do not.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80" w:lineRule="auto"/>
    </w:pPr>
    <w:rPr>
      <w:sz w:val="24"/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