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17D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Supplementary material</w:t>
      </w:r>
      <w:bookmarkStart w:id="0" w:name="_GoBack"/>
      <w:bookmarkEnd w:id="0"/>
    </w:p>
    <w:p w14:paraId="517F69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i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i w:val="0"/>
          <w:kern w:val="2"/>
          <w:sz w:val="24"/>
          <w:szCs w:val="24"/>
          <w:lang w:val="en-US" w:eastAsia="zh-CN" w:bidi="ar-SA"/>
        </w:rPr>
        <w:t>A.</w:t>
      </w:r>
      <w:r>
        <w:rPr>
          <w:rFonts w:hint="default" w:ascii="Times New Roman" w:hAnsi="Times New Roman" w:cs="Times New Roman"/>
          <w:i w:val="0"/>
          <w:kern w:val="2"/>
          <w:sz w:val="24"/>
          <w:szCs w:val="24"/>
          <w:lang w:val="en-US" w:eastAsia="zh-CN" w:bidi="ar-SA"/>
        </w:rPr>
        <w:t xml:space="preserve"> The training curve of BGS-YOLOv8 is shown in Figure </w:t>
      </w:r>
      <w:r>
        <w:rPr>
          <w:rFonts w:hint="eastAsia" w:ascii="Times New Roman" w:hAnsi="Times New Roman" w:cs="Times New Roman"/>
          <w:i w:val="0"/>
          <w:kern w:val="2"/>
          <w:sz w:val="24"/>
          <w:szCs w:val="24"/>
          <w:lang w:val="en-US" w:eastAsia="zh-CN" w:bidi="ar-SA"/>
        </w:rPr>
        <w:t>6</w:t>
      </w:r>
      <w:r>
        <w:rPr>
          <w:rFonts w:hint="default" w:ascii="Times New Roman" w:hAnsi="Times New Roman" w:cs="Times New Roman"/>
          <w:i w:val="0"/>
          <w:kern w:val="2"/>
          <w:sz w:val="24"/>
          <w:szCs w:val="24"/>
          <w:lang w:val="en-US" w:eastAsia="zh-CN" w:bidi="ar-SA"/>
        </w:rPr>
        <w:t>.</w:t>
      </w:r>
    </w:p>
    <w:p w14:paraId="77A3F1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hAnsi="Cambria Math" w:cs="Cambria Math"/>
          <w:i w:val="0"/>
          <w:kern w:val="2"/>
          <w:sz w:val="21"/>
          <w:szCs w:val="21"/>
          <w:lang w:val="en-US" w:eastAsia="zh-CN" w:bidi="ar-SA"/>
        </w:rPr>
      </w:pPr>
      <w:r>
        <w:rPr>
          <w:rFonts w:hint="eastAsia" w:hAnsi="Cambria Math" w:cs="Cambria Math"/>
          <w:i w:val="0"/>
          <w:kern w:val="2"/>
          <w:sz w:val="21"/>
          <w:szCs w:val="21"/>
          <w:lang w:val="en-US" w:eastAsia="zh-CN" w:bidi="ar-SA"/>
        </w:rPr>
        <w:drawing>
          <wp:inline distT="0" distB="0" distL="114300" distR="114300">
            <wp:extent cx="4806950" cy="2403475"/>
            <wp:effectExtent l="0" t="0" r="8890" b="4445"/>
            <wp:docPr id="6" name="图片 6" descr="resu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result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695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B0F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/>
          <w:bCs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sz w:val="15"/>
          <w:szCs w:val="15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15"/>
          <w:szCs w:val="15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15"/>
          <w:szCs w:val="15"/>
          <w:lang w:eastAsia="zh-CN"/>
        </w:rPr>
        <w:t xml:space="preserve"> Curves of the model training process, including changes in loss function and evaluation metrics</w:t>
      </w:r>
    </w:p>
    <w:p w14:paraId="2D04FE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i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i w:val="0"/>
          <w:kern w:val="2"/>
          <w:sz w:val="24"/>
          <w:szCs w:val="24"/>
          <w:lang w:val="en-US" w:eastAsia="zh-CN" w:bidi="ar-SA"/>
        </w:rPr>
        <w:t>B</w:t>
      </w:r>
      <w:r>
        <w:rPr>
          <w:rFonts w:hint="default" w:ascii="Times New Roman" w:hAnsi="Times New Roman" w:cs="Times New Roman"/>
          <w:i w:val="0"/>
          <w:kern w:val="2"/>
          <w:sz w:val="24"/>
          <w:szCs w:val="24"/>
          <w:lang w:val="en-US" w:eastAsia="zh-CN" w:bidi="ar-SA"/>
        </w:rPr>
        <w:t xml:space="preserve"> The training parameters used in this study are shown in Table 2.</w:t>
      </w:r>
    </w:p>
    <w:p w14:paraId="4BA3F679">
      <w:pPr>
        <w:pStyle w:val="2"/>
        <w:jc w:val="center"/>
        <w:rPr>
          <w:rFonts w:hint="default" w:ascii="Times New Roman" w:hAnsi="Times New Roman" w:eastAsia="宋体" w:cs="Times New Roman"/>
          <w:b/>
          <w:bCs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sz w:val="15"/>
          <w:szCs w:val="15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15"/>
          <w:szCs w:val="15"/>
        </w:rPr>
        <w:fldChar w:fldCharType="begin"/>
      </w:r>
      <w:r>
        <w:rPr>
          <w:rFonts w:hint="default" w:ascii="Times New Roman" w:hAnsi="Times New Roman" w:cs="Times New Roman"/>
          <w:b/>
          <w:bCs/>
          <w:sz w:val="15"/>
          <w:szCs w:val="15"/>
        </w:rPr>
        <w:instrText xml:space="preserve"> SEQ Table \* ARABIC </w:instrText>
      </w:r>
      <w:r>
        <w:rPr>
          <w:rFonts w:hint="default" w:ascii="Times New Roman" w:hAnsi="Times New Roman" w:cs="Times New Roman"/>
          <w:b/>
          <w:bCs/>
          <w:sz w:val="15"/>
          <w:szCs w:val="15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15"/>
          <w:szCs w:val="15"/>
        </w:rPr>
        <w:t>2</w:t>
      </w:r>
      <w:r>
        <w:rPr>
          <w:rFonts w:hint="default" w:ascii="Times New Roman" w:hAnsi="Times New Roman" w:cs="Times New Roman"/>
          <w:b/>
          <w:bCs/>
          <w:sz w:val="15"/>
          <w:szCs w:val="15"/>
        </w:rPr>
        <w:fldChar w:fldCharType="end"/>
      </w:r>
      <w:r>
        <w:rPr>
          <w:rFonts w:hint="default" w:ascii="Times New Roman" w:hAnsi="Times New Roman" w:cs="Times New Roman"/>
          <w:b/>
          <w:bCs/>
          <w:sz w:val="15"/>
          <w:szCs w:val="15"/>
          <w:lang w:eastAsia="zh-CN"/>
        </w:rPr>
        <w:t xml:space="preserve"> training parameters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2078"/>
      </w:tblGrid>
      <w:tr w14:paraId="18D25E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8" w:type="dxa"/>
            <w:tcBorders>
              <w:tl2br w:val="nil"/>
              <w:tr2bl w:val="nil"/>
            </w:tcBorders>
            <w:vAlign w:val="top"/>
          </w:tcPr>
          <w:p w14:paraId="2CE7A3C1">
            <w:pPr>
              <w:bidi w:val="0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  <w:t>Parameter Name</w:t>
            </w:r>
          </w:p>
        </w:tc>
        <w:tc>
          <w:tcPr>
            <w:tcW w:w="2078" w:type="dxa"/>
            <w:tcBorders>
              <w:tl2br w:val="nil"/>
              <w:tr2bl w:val="nil"/>
            </w:tcBorders>
            <w:vAlign w:val="top"/>
          </w:tcPr>
          <w:p w14:paraId="329D3A84">
            <w:pPr>
              <w:bidi w:val="0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  <w:t>Setting</w:t>
            </w:r>
          </w:p>
        </w:tc>
      </w:tr>
      <w:tr w14:paraId="791A62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8" w:type="dxa"/>
            <w:tcBorders>
              <w:bottom w:val="nil"/>
              <w:tl2br w:val="nil"/>
              <w:tr2bl w:val="nil"/>
            </w:tcBorders>
            <w:vAlign w:val="top"/>
          </w:tcPr>
          <w:p w14:paraId="06AE5B31">
            <w:pPr>
              <w:bidi w:val="0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  <w:t>Image size</w:t>
            </w:r>
          </w:p>
        </w:tc>
        <w:tc>
          <w:tcPr>
            <w:tcW w:w="2078" w:type="dxa"/>
            <w:tcBorders>
              <w:bottom w:val="nil"/>
              <w:tl2br w:val="nil"/>
              <w:tr2bl w:val="nil"/>
            </w:tcBorders>
            <w:vAlign w:val="top"/>
          </w:tcPr>
          <w:p w14:paraId="42F37023">
            <w:pPr>
              <w:bidi w:val="0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  <w:t>640×640</w:t>
            </w:r>
          </w:p>
        </w:tc>
      </w:tr>
      <w:tr w14:paraId="03C442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8" w:type="dxa"/>
            <w:tcBorders>
              <w:top w:val="nil"/>
              <w:bottom w:val="nil"/>
              <w:tl2br w:val="nil"/>
              <w:tr2bl w:val="nil"/>
            </w:tcBorders>
            <w:vAlign w:val="top"/>
          </w:tcPr>
          <w:p w14:paraId="668D7388">
            <w:pPr>
              <w:bidi w:val="0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  <w:t>Batch size</w:t>
            </w:r>
          </w:p>
        </w:tc>
        <w:tc>
          <w:tcPr>
            <w:tcW w:w="2078" w:type="dxa"/>
            <w:tcBorders>
              <w:top w:val="nil"/>
              <w:bottom w:val="nil"/>
              <w:tl2br w:val="nil"/>
              <w:tr2bl w:val="nil"/>
            </w:tcBorders>
            <w:vAlign w:val="top"/>
          </w:tcPr>
          <w:p w14:paraId="7B7875E4">
            <w:pPr>
              <w:bidi w:val="0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  <w:t>4</w:t>
            </w:r>
          </w:p>
        </w:tc>
      </w:tr>
      <w:tr w14:paraId="06FC84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8" w:type="dxa"/>
            <w:tcBorders>
              <w:top w:val="nil"/>
              <w:bottom w:val="nil"/>
              <w:tl2br w:val="nil"/>
              <w:tr2bl w:val="nil"/>
            </w:tcBorders>
            <w:vAlign w:val="top"/>
          </w:tcPr>
          <w:p w14:paraId="7799B1C4">
            <w:pPr>
              <w:bidi w:val="0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  <w:t>Initial learning rate</w:t>
            </w:r>
          </w:p>
        </w:tc>
        <w:tc>
          <w:tcPr>
            <w:tcW w:w="2078" w:type="dxa"/>
            <w:tcBorders>
              <w:top w:val="nil"/>
              <w:bottom w:val="nil"/>
              <w:tl2br w:val="nil"/>
              <w:tr2bl w:val="nil"/>
            </w:tcBorders>
            <w:vAlign w:val="top"/>
          </w:tcPr>
          <w:p w14:paraId="18A84D24">
            <w:pPr>
              <w:bidi w:val="0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  <w:t>0.01</w:t>
            </w:r>
          </w:p>
        </w:tc>
      </w:tr>
      <w:tr w14:paraId="71A962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8" w:type="dxa"/>
            <w:tcBorders>
              <w:top w:val="nil"/>
              <w:bottom w:val="nil"/>
              <w:tl2br w:val="nil"/>
              <w:tr2bl w:val="nil"/>
            </w:tcBorders>
            <w:vAlign w:val="top"/>
          </w:tcPr>
          <w:p w14:paraId="4A65CC67">
            <w:pPr>
              <w:bidi w:val="0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  <w:t>Training epochs</w:t>
            </w:r>
          </w:p>
        </w:tc>
        <w:tc>
          <w:tcPr>
            <w:tcW w:w="2078" w:type="dxa"/>
            <w:tcBorders>
              <w:top w:val="nil"/>
              <w:bottom w:val="nil"/>
              <w:tl2br w:val="nil"/>
              <w:tr2bl w:val="nil"/>
            </w:tcBorders>
            <w:vAlign w:val="top"/>
          </w:tcPr>
          <w:p w14:paraId="458E8391">
            <w:pPr>
              <w:bidi w:val="0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  <w:t>300</w:t>
            </w:r>
          </w:p>
        </w:tc>
      </w:tr>
      <w:tr w14:paraId="7F2E06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8" w:type="dxa"/>
            <w:tcBorders>
              <w:top w:val="nil"/>
              <w:bottom w:val="single" w:color="000000" w:sz="4" w:space="0"/>
              <w:tl2br w:val="nil"/>
              <w:tr2bl w:val="nil"/>
            </w:tcBorders>
            <w:vAlign w:val="top"/>
          </w:tcPr>
          <w:p w14:paraId="1430194A">
            <w:pPr>
              <w:bidi w:val="0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  <w:t>Cosine annealing strategy</w:t>
            </w:r>
          </w:p>
        </w:tc>
        <w:tc>
          <w:tcPr>
            <w:tcW w:w="2078" w:type="dxa"/>
            <w:tcBorders>
              <w:top w:val="nil"/>
              <w:bottom w:val="single" w:color="000000" w:sz="4" w:space="0"/>
              <w:tl2br w:val="nil"/>
              <w:tr2bl w:val="nil"/>
            </w:tcBorders>
            <w:vAlign w:val="top"/>
          </w:tcPr>
          <w:p w14:paraId="7542E9B3">
            <w:pPr>
              <w:bidi w:val="0"/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  <w:t>0.01</w:t>
            </w:r>
          </w:p>
        </w:tc>
      </w:tr>
    </w:tbl>
    <w:p w14:paraId="045A5973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2302F0"/>
    <w:rsid w:val="43690D26"/>
    <w:rsid w:val="6D23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2026-05-17T02:33:00Z</dcterms:created>
  <dc:creator>WPS_1559734592</dc:creator>
  <cp:lastModifiedBy>WPS_1559734592</cp:lastModifiedBy>
  <dcterms:modified xsi:type="dcterms:W3CDTF">2026-05-17T02:52:03Z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8BD3063F9383442790FD8883ACA7045C_13</vt:lpwstr>
  </property>
  <property fmtid="{D5CDD505-2E9C-101B-9397-08002B2CF9AE}" pid="4" name="KSOTemplateDocerSaveRecord">
    <vt:lpwstr>eyJoZGlkIjoiMzg3NWUwMGM1N2JmNzE0YTljOTA2ZGYwNjQ2ODkxNTgiLCJ1c2VySWQiOiI1NzE4Njc4MzAifQ==</vt:lpwstr>
  </property>
</Properties>
</file>