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Supplemental Material</w:t>
      </w:r>
    </w:p>
    <w:p>
      <w:pPr>
        <w:jc w:val="center"/>
      </w:pPr>
      <w:r>
        <w:rPr>
          <w:rFonts w:ascii="Times New Roman" w:hAnsi="Times New Roman" w:eastAsia="Times New Roman"/>
          <w:b w:val="0"/>
          <w:i/>
          <w:sz w:val="20"/>
        </w:rPr>
        <w:t>TriNetX Cohort Definitions, Variables, Outcome Proxies, and Matching Characteristics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200"/>
        <w:gridCol w:w="7200"/>
      </w:tblGrid>
      <w:tr>
        <w:trPr>
          <w:tblHeader w:val="true"/>
        </w:trPr>
        <w:tc>
          <w:tcPr>
            <w:tcW w:type="dxa" w:w="10584"/>
            <w:shd w:fill="D9EAF7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i w:val="0"/>
                <w:sz w:val="19"/>
              </w:rPr>
              <w:t>Variable and related code</w:t>
            </w:r>
          </w:p>
        </w:tc>
        <w:tc>
          <w:tcPr>
            <w:tcW w:type="dxa" w:w="3528"/>
            <w:shd w:fill="D9EAF7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i w:val="0"/>
                <w:sz w:val="19"/>
              </w:rPr>
              <w:t>Type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Age at least 18 years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Inclusion criteria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Metastatic urothelial carcinoma: malignant neoplasm of bladder (ICD-10-CM C67.x or ICD-O-3 C67) or urethra (ICD-10-CM C68.0 or ICD-O-3 C68.0) with metastatic/stage IV disease using secondary malignant neoplasm codes (ICD-10-CM C79.x), stage IV (TNX:STAGE:S4), or documented M1/stage IV disease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Inclusion criteria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Diagnosis/treatment date window: January 1, 2019 through June 30, 2025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Inclusion criteria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Specified baseline laboratory availability: creatinine (TNX:9024), eGFR/MDRD (TNX:8001), albumin (TNX:9045), hemoglobin (TNX:9014), AST (TNX:9047), and ALT (TNX:9044) within 3 months prior to index treatment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Inclusion criteria / laboratory eligibility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Non-urothelial histologies excluded: small cell carcinoma NOS (ICD-O-3 8041/3), combined small cell carcinoma (8045/3), neuroendocrine tumor NOS (8240/3), neuroendocrine carcinoma NOS (8246/3), large cell neuroendocrine carcinoma (8013/3), squamous cell carcinoma NOS/keratinizing/large cell nonkeratinizing (8070/3, 8071/3, 8072/3), basaloid squamous cell carcinoma (8083/3), adenocarcinoma NOS/intestinal/mixed subtypes (8140/3, 8144/3, 8255/3), mucinous adenocarcinoma (8480/3), signet ring cell carcinoma (8490/3), malignant poorly differentiated neuroendocrine tumors (C7A.1), other malignant neuroendocrine tumors (C7A.8), and malignant carcinoid tumors of other sites (C7A.09)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Exclusion criteria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Prior systemic therapy exclusions within 180 days before index: cisplatin, carboplatin, gemcitabine, paclitaxel, docetaxel, methotrexate, vinblastine, doxorubicin, ifosfamide, pembrolizumab, nivolumab, atezolizumab, durvalumab, enfortumab vedotin, sacituzumab govitecan, and erdafitinib; prior cystectomy/procedure exclusions were also applied per TriNetX query logic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Exclusion criteria / first-line approximation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Enfortumab vedotin: HCPCS J9177 or RxNorm 2268307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Exposure definition: EV + pembrolizumab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Pembrolizumab: RxNorm 1547545, HCPCS J9271, or HCPCS C9027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Exposure definition: EV + pembrolizumab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EV + pembrolizumab index regimen: enfortumab vedotin with pembrolizumab within 21 days on or after EV occurrence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Index treatment definition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Gemcitabine: RxNorm 12574, HCPCS J9201, J9196, J9199, or J9198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Comparator definition: gemcitabine + platinum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Cisplatin: RxNorm 2555 or HCPCS J9060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Comparator definition: gemcitabine + platinum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Carboplatin: RxNorm 40048 or HCPCS J9045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Comparator definition: gemcitabine + platinum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Gemcitabine + platinum index regimen: gemcitabine with cisplatin or carboplatin within 21 days before or after gemcitabine occurrence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Index treatment definition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Overall survival/death: TriNetX demographics deceased status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Outcome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ED or inpatient utilization: Emergency Department Services (CPT 1013711), ED visit CPT 99281, 99282, 99283, 99284, 99285, Visit: Emergency (HL7V3.0 VisitType EMER), Visit: Inpatient Encounter (HL7V3.0 VisitType IMP), or Visit: Inpatient Non-acute (HL7V3.0 VisitType NONAC)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Outcome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Adverse-event proxies: drug-induced polyneuropathy (G62.0), polyneuropathy unspecified (G62.9), allergic contact dermatitis (L23), irritant contact dermatitis (L24), dermatitis due to substances taken internally (L27), and pruritus (L29)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Outcome / toxicity proxy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Time to next treatment: subsequent systemic therapy after index including immune checkpoint inhibitors, antibody-drug conjugates, platinum/gemcitabine, taxanes, methotrexate, vinblastine, doxorubicin, ifosfamide, and erdafitinib as specified in the TriNetX outcome definition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Exploratory outcome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Laboratory outcomes within 0-12 weeks after index: eGFR, creatinine, albumin, hemoglobin, AST, and ALT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Outcome / laboratory assessment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Hemoglobin &lt;10 g/dL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Outcome / laboratory threshold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Albumin &lt;3 g/dL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Outcome / laboratory threshold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Outcome windows: 180 days for 6-month ED/inpatient utilization; 360 days for 12-month ED/inpatient utilization; 720 days for overall survival, adverse-event proxies, and treatment-switching analyses; 84 days for early laboratory outcomes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Analysis window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matching: 1:1 matching after cohort construction; prematch cohorts EV + pembrolizumab n=344 and gemcitabine + platinum n=702; postmatch cohorts n=325 in each arm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Statistical approach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Age at index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Male sex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Black or African American race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Not Hispanic or Latino ethnicity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Secondary malignant neoplasm of bone and bone marrow (C79.5)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 / metastatic site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Secondary malignant neoplasm of liver and intrahepatic bile duct (C78.7)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 / metastatic site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Heart failure (I50)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 / comorbidity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Atherosclerosis (I70)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 / comorbidity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Chronic kidney disease (N18)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 / comorbidity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Diseases of liver (K70-K77)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 / comorbidity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Nicotine dependence (F17.2)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 / smoking history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Tobacco use (Z72.0)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 / smoking history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Secondary malignant neoplasm of bladder and other/unspecified urinary organs (C79.1)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 / metastatic site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Malignant neoplasms of respiratory and intrathoracic organs (C30-C39)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 / cancer history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Malignant neoplasms of urinary tract (C64-C68)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 / cancer history</w:t>
            </w:r>
          </w:p>
        </w:tc>
      </w:tr>
      <w:tr>
        <w:tc>
          <w:tcPr>
            <w:tcW w:type="dxa" w:w="10584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Malignant neoplasms of ill-defined, other secondary, and unspecified sites (C76-C80)</w:t>
            </w:r>
          </w:p>
        </w:tc>
        <w:tc>
          <w:tcPr>
            <w:tcW w:type="dxa" w:w="3528"/>
            <w:vAlign w:val="top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Propensity-score matching variable / metastatic/cancer history</w:t>
            </w:r>
          </w:p>
        </w:tc>
      </w:tr>
    </w:tbl>
    <w:p>
      <w:pPr>
        <w:spacing w:before="140" w:after="0"/>
      </w:pPr>
      <w:r>
        <w:rPr>
          <w:rFonts w:ascii="Times New Roman" w:hAnsi="Times New Roman" w:eastAsia="Times New Roman"/>
          <w:b/>
          <w:i w:val="0"/>
          <w:sz w:val="17"/>
        </w:rPr>
        <w:t xml:space="preserve">Abbreviations: </w:t>
      </w:r>
      <w:r>
        <w:rPr>
          <w:rFonts w:ascii="Times New Roman" w:hAnsi="Times New Roman" w:eastAsia="Times New Roman"/>
          <w:b w:val="0"/>
          <w:i w:val="0"/>
          <w:sz w:val="17"/>
        </w:rPr>
        <w:t>ALT, alanine aminotransferase; AST, aspartate aminotransferase; ED, emergency department; EV, enfortumab vedotin; eGFR, estimated glomerular filtration rate; GEM + Plat, gemcitabine plus cisplatin or carboplatin; Pem, pembrolizumab; PSM, propensity-score matching; TTNT, time to next treatment.</w:t>
      </w:r>
    </w:p>
    <w:sectPr w:rsidR="00FC693F" w:rsidRPr="0006063C" w:rsidSect="00034616">
      <w:footerReference w:type="default" r:id="rId9"/>
      <w:pgSz w:w="15840" w:h="12240" w:orient="landscape"/>
      <w:pgMar w:top="648" w:right="720" w:bottom="64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sz w:val="17"/>
      </w:rPr>
      <w:t>Supplemental Material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