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1650D" w14:textId="77777777" w:rsidR="00D449AD" w:rsidRDefault="00D449AD" w:rsidP="00D449AD">
      <w:pPr>
        <w:rPr>
          <w:rFonts w:ascii="Times New Roman" w:hAnsi="Times New Roman" w:cs="Times New Roman"/>
          <w:b/>
        </w:rPr>
      </w:pPr>
      <w:r w:rsidRPr="00393EC0">
        <w:rPr>
          <w:rFonts w:ascii="Times New Roman" w:hAnsi="Times New Roman" w:cs="Times New Roman"/>
          <w:b/>
        </w:rPr>
        <w:t>Supplementary Material</w:t>
      </w:r>
    </w:p>
    <w:p w14:paraId="495E5F24" w14:textId="77777777" w:rsidR="00D449AD" w:rsidRDefault="00D449AD" w:rsidP="00D449AD">
      <w:pPr>
        <w:rPr>
          <w:rFonts w:ascii="Times New Roman" w:hAnsi="Times New Roman" w:cs="Times New Roman"/>
          <w:b/>
          <w:sz w:val="22"/>
        </w:rPr>
      </w:pPr>
      <w:r w:rsidRPr="00393EC0">
        <w:rPr>
          <w:rFonts w:ascii="Times New Roman" w:hAnsi="Times New Roman" w:cs="Times New Roman"/>
          <w:b/>
          <w:sz w:val="22"/>
        </w:rPr>
        <w:t>Supplementary Table S1. Comprehensive descriptive statistics of the Palestinian breast cancer cohort (N = 2,323).</w:t>
      </w:r>
    </w:p>
    <w:p w14:paraId="2554536E" w14:textId="77777777" w:rsidR="00D449AD" w:rsidRDefault="00D449AD" w:rsidP="00920DB0">
      <w:pPr>
        <w:rPr>
          <w:rFonts w:ascii="Times New Roman" w:hAnsi="Times New Roman" w:cs="Times New Roman"/>
          <w:i/>
          <w:sz w:val="18"/>
        </w:rPr>
      </w:pPr>
    </w:p>
    <w:p w14:paraId="32C0F3EF" w14:textId="4B01F657" w:rsidR="00920DB0" w:rsidRPr="00393EC0" w:rsidRDefault="00920DB0" w:rsidP="00920DB0">
      <w:pPr>
        <w:rPr>
          <w:rFonts w:ascii="Times New Roman" w:hAnsi="Times New Roman" w:cs="Times New Roman"/>
          <w:i/>
          <w:sz w:val="18"/>
        </w:rPr>
      </w:pPr>
      <w:r w:rsidRPr="00393EC0">
        <w:rPr>
          <w:rFonts w:ascii="Times New Roman" w:hAnsi="Times New Roman" w:cs="Times New Roman"/>
          <w:i/>
          <w:sz w:val="18"/>
        </w:rPr>
        <w:t>All proportions are calculated among tested/non-missing patients unless otherwise stated. 95% CIs for proportions use the Wilson score method; 95% CIs for means are z-based. Subtype analyses restricted to patients with complete ER, PR, and HER2 data (n = 1,628).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2"/>
        <w:gridCol w:w="1050"/>
        <w:gridCol w:w="2291"/>
        <w:gridCol w:w="2927"/>
      </w:tblGrid>
      <w:tr w:rsidR="00920DB0" w:rsidRPr="00393EC0" w14:paraId="4487B5F8" w14:textId="77777777" w:rsidTr="00E540B5">
        <w:tc>
          <w:tcPr>
            <w:tcW w:w="3600" w:type="dxa"/>
            <w:shd w:val="clear" w:color="1F3864" w:fill="1F3864"/>
          </w:tcPr>
          <w:p w14:paraId="2F5AD75D" w14:textId="77777777" w:rsidR="00920DB0" w:rsidRPr="00393EC0" w:rsidRDefault="00920DB0" w:rsidP="00E540B5">
            <w:pPr>
              <w:rPr>
                <w:rFonts w:ascii="Times New Roman" w:hAnsi="Times New Roman" w:cs="Times New Roman"/>
                <w:b/>
                <w:i/>
                <w:color w:val="FFFFFF"/>
                <w:sz w:val="20"/>
              </w:rPr>
            </w:pPr>
            <w:r w:rsidRPr="00393EC0">
              <w:rPr>
                <w:rFonts w:ascii="Times New Roman" w:hAnsi="Times New Roman" w:cs="Times New Roman"/>
                <w:b/>
                <w:i/>
                <w:color w:val="FFFFFF"/>
                <w:sz w:val="20"/>
              </w:rPr>
              <w:t>Variable</w:t>
            </w:r>
          </w:p>
        </w:tc>
        <w:tc>
          <w:tcPr>
            <w:tcW w:w="1100" w:type="dxa"/>
            <w:shd w:val="clear" w:color="1F3864" w:fill="1F3864"/>
          </w:tcPr>
          <w:p w14:paraId="4B04E5D3" w14:textId="77777777" w:rsidR="00920DB0" w:rsidRPr="00393EC0" w:rsidRDefault="00920DB0" w:rsidP="00E540B5">
            <w:pPr>
              <w:rPr>
                <w:rFonts w:ascii="Times New Roman" w:hAnsi="Times New Roman" w:cs="Times New Roman"/>
                <w:b/>
                <w:i/>
                <w:color w:val="FFFFFF"/>
                <w:sz w:val="20"/>
              </w:rPr>
            </w:pPr>
            <w:r w:rsidRPr="00393EC0">
              <w:rPr>
                <w:rFonts w:ascii="Times New Roman" w:hAnsi="Times New Roman" w:cs="Times New Roman"/>
                <w:b/>
                <w:i/>
                <w:color w:val="FFFFFF"/>
                <w:sz w:val="20"/>
              </w:rPr>
              <w:t>n</w:t>
            </w:r>
          </w:p>
        </w:tc>
        <w:tc>
          <w:tcPr>
            <w:tcW w:w="3000" w:type="dxa"/>
            <w:shd w:val="clear" w:color="1F3864" w:fill="1F3864"/>
          </w:tcPr>
          <w:p w14:paraId="15F19DBB" w14:textId="77777777" w:rsidR="00920DB0" w:rsidRPr="00393EC0" w:rsidRDefault="00920DB0" w:rsidP="00E540B5">
            <w:pPr>
              <w:rPr>
                <w:rFonts w:ascii="Times New Roman" w:hAnsi="Times New Roman" w:cs="Times New Roman"/>
                <w:b/>
                <w:i/>
                <w:color w:val="FFFFFF"/>
                <w:sz w:val="20"/>
              </w:rPr>
            </w:pPr>
            <w:r w:rsidRPr="00393EC0">
              <w:rPr>
                <w:rFonts w:ascii="Times New Roman" w:hAnsi="Times New Roman" w:cs="Times New Roman"/>
                <w:b/>
                <w:i/>
                <w:color w:val="FFFFFF"/>
                <w:sz w:val="20"/>
              </w:rPr>
              <w:t>% (95% CI)</w:t>
            </w:r>
          </w:p>
        </w:tc>
        <w:tc>
          <w:tcPr>
            <w:tcW w:w="3700" w:type="dxa"/>
            <w:shd w:val="clear" w:color="1F3864" w:fill="1F3864"/>
          </w:tcPr>
          <w:p w14:paraId="713CCCBF" w14:textId="77777777" w:rsidR="00920DB0" w:rsidRPr="00393EC0" w:rsidRDefault="00920DB0" w:rsidP="00E540B5">
            <w:pPr>
              <w:rPr>
                <w:rFonts w:ascii="Times New Roman" w:hAnsi="Times New Roman" w:cs="Times New Roman"/>
                <w:b/>
                <w:i/>
                <w:color w:val="FFFFFF"/>
                <w:sz w:val="20"/>
              </w:rPr>
            </w:pPr>
            <w:r w:rsidRPr="00393EC0">
              <w:rPr>
                <w:rFonts w:ascii="Times New Roman" w:hAnsi="Times New Roman" w:cs="Times New Roman"/>
                <w:b/>
                <w:i/>
                <w:color w:val="FFFFFF"/>
                <w:sz w:val="20"/>
              </w:rPr>
              <w:t>Additional statistic</w:t>
            </w:r>
          </w:p>
        </w:tc>
      </w:tr>
      <w:tr w:rsidR="00920DB0" w:rsidRPr="00393EC0" w14:paraId="1E76C9C3" w14:textId="77777777" w:rsidTr="00E540B5">
        <w:tc>
          <w:tcPr>
            <w:tcW w:w="3600" w:type="dxa"/>
            <w:shd w:val="clear" w:color="D9E1F2" w:fill="D9E1F2"/>
          </w:tcPr>
          <w:p w14:paraId="255CCB3B" w14:textId="77777777" w:rsidR="00920DB0" w:rsidRPr="00393EC0" w:rsidRDefault="00920DB0" w:rsidP="00E540B5">
            <w:pPr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</w:pPr>
            <w:r w:rsidRPr="00393EC0"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  <w:t>OVERALL COHORT</w:t>
            </w:r>
          </w:p>
        </w:tc>
        <w:tc>
          <w:tcPr>
            <w:tcW w:w="1100" w:type="dxa"/>
            <w:shd w:val="clear" w:color="D9E1F2" w:fill="D9E1F2"/>
          </w:tcPr>
          <w:p w14:paraId="73ED4BA1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000" w:type="dxa"/>
            <w:shd w:val="clear" w:color="D9E1F2" w:fill="D9E1F2"/>
          </w:tcPr>
          <w:p w14:paraId="717B5E57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700" w:type="dxa"/>
            <w:shd w:val="clear" w:color="D9E1F2" w:fill="D9E1F2"/>
          </w:tcPr>
          <w:p w14:paraId="24DF1D61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920DB0" w:rsidRPr="00393EC0" w14:paraId="69778071" w14:textId="77777777" w:rsidTr="00E540B5">
        <w:tc>
          <w:tcPr>
            <w:tcW w:w="3600" w:type="dxa"/>
          </w:tcPr>
          <w:p w14:paraId="4E27082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Total patients</w:t>
            </w:r>
          </w:p>
        </w:tc>
        <w:tc>
          <w:tcPr>
            <w:tcW w:w="1100" w:type="dxa"/>
          </w:tcPr>
          <w:p w14:paraId="4A713AA7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2,323</w:t>
            </w:r>
          </w:p>
        </w:tc>
        <w:tc>
          <w:tcPr>
            <w:tcW w:w="3000" w:type="dxa"/>
          </w:tcPr>
          <w:p w14:paraId="74E3FB1F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  <w:tc>
          <w:tcPr>
            <w:tcW w:w="3700" w:type="dxa"/>
          </w:tcPr>
          <w:p w14:paraId="6925C806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5BEFE0E0" w14:textId="77777777" w:rsidTr="00E540B5">
        <w:tc>
          <w:tcPr>
            <w:tcW w:w="3600" w:type="dxa"/>
          </w:tcPr>
          <w:p w14:paraId="28876F54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Patients with age data</w:t>
            </w:r>
          </w:p>
        </w:tc>
        <w:tc>
          <w:tcPr>
            <w:tcW w:w="1100" w:type="dxa"/>
          </w:tcPr>
          <w:p w14:paraId="6EC6C227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2,315</w:t>
            </w:r>
          </w:p>
        </w:tc>
        <w:tc>
          <w:tcPr>
            <w:tcW w:w="3000" w:type="dxa"/>
          </w:tcPr>
          <w:p w14:paraId="5A134DCC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99.7%</w:t>
            </w:r>
          </w:p>
        </w:tc>
        <w:tc>
          <w:tcPr>
            <w:tcW w:w="3700" w:type="dxa"/>
          </w:tcPr>
          <w:p w14:paraId="319C8039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2DDE8C33" w14:textId="77777777" w:rsidTr="00E540B5">
        <w:tc>
          <w:tcPr>
            <w:tcW w:w="3600" w:type="dxa"/>
            <w:shd w:val="clear" w:color="D9E1F2" w:fill="D9E1F2"/>
          </w:tcPr>
          <w:p w14:paraId="1C92C6DF" w14:textId="77777777" w:rsidR="00920DB0" w:rsidRPr="00393EC0" w:rsidRDefault="00920DB0" w:rsidP="00E540B5">
            <w:pPr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</w:pPr>
            <w:r w:rsidRPr="00393EC0"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  <w:t>AGE AT DIAGNOSIS (years, n = 2,315)</w:t>
            </w:r>
          </w:p>
        </w:tc>
        <w:tc>
          <w:tcPr>
            <w:tcW w:w="1100" w:type="dxa"/>
            <w:shd w:val="clear" w:color="D9E1F2" w:fill="D9E1F2"/>
          </w:tcPr>
          <w:p w14:paraId="45E41627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000" w:type="dxa"/>
            <w:shd w:val="clear" w:color="D9E1F2" w:fill="D9E1F2"/>
          </w:tcPr>
          <w:p w14:paraId="5A32B866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700" w:type="dxa"/>
            <w:shd w:val="clear" w:color="D9E1F2" w:fill="D9E1F2"/>
          </w:tcPr>
          <w:p w14:paraId="66D8FFE9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920DB0" w:rsidRPr="00393EC0" w14:paraId="0E44E2F6" w14:textId="77777777" w:rsidTr="00E540B5">
        <w:tc>
          <w:tcPr>
            <w:tcW w:w="3600" w:type="dxa"/>
          </w:tcPr>
          <w:p w14:paraId="4DB55259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Mean ± SD</w:t>
            </w:r>
          </w:p>
        </w:tc>
        <w:tc>
          <w:tcPr>
            <w:tcW w:w="1100" w:type="dxa"/>
          </w:tcPr>
          <w:p w14:paraId="402507A9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  <w:tc>
          <w:tcPr>
            <w:tcW w:w="3000" w:type="dxa"/>
          </w:tcPr>
          <w:p w14:paraId="67A3A460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  <w:tc>
          <w:tcPr>
            <w:tcW w:w="3700" w:type="dxa"/>
          </w:tcPr>
          <w:p w14:paraId="0BE5E9BE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52.7 ± 13.1</w:t>
            </w:r>
          </w:p>
        </w:tc>
      </w:tr>
      <w:tr w:rsidR="00920DB0" w:rsidRPr="00393EC0" w14:paraId="66FECDB4" w14:textId="77777777" w:rsidTr="00E540B5">
        <w:tc>
          <w:tcPr>
            <w:tcW w:w="3600" w:type="dxa"/>
          </w:tcPr>
          <w:p w14:paraId="03C3AF0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95% CI for mean</w:t>
            </w:r>
          </w:p>
        </w:tc>
        <w:tc>
          <w:tcPr>
            <w:tcW w:w="1100" w:type="dxa"/>
          </w:tcPr>
          <w:p w14:paraId="051EEAE7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  <w:tc>
          <w:tcPr>
            <w:tcW w:w="3000" w:type="dxa"/>
          </w:tcPr>
          <w:p w14:paraId="0E265259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  <w:tc>
          <w:tcPr>
            <w:tcW w:w="3700" w:type="dxa"/>
          </w:tcPr>
          <w:p w14:paraId="6F31DD2C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(52.2 – 53.3)</w:t>
            </w:r>
          </w:p>
        </w:tc>
      </w:tr>
      <w:tr w:rsidR="00920DB0" w:rsidRPr="00393EC0" w14:paraId="22169224" w14:textId="77777777" w:rsidTr="00E540B5">
        <w:tc>
          <w:tcPr>
            <w:tcW w:w="3600" w:type="dxa"/>
          </w:tcPr>
          <w:p w14:paraId="582661CF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Median (IQR)</w:t>
            </w:r>
          </w:p>
        </w:tc>
        <w:tc>
          <w:tcPr>
            <w:tcW w:w="1100" w:type="dxa"/>
          </w:tcPr>
          <w:p w14:paraId="53831FDC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  <w:tc>
          <w:tcPr>
            <w:tcW w:w="3000" w:type="dxa"/>
          </w:tcPr>
          <w:p w14:paraId="686A16B5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  <w:tc>
          <w:tcPr>
            <w:tcW w:w="3700" w:type="dxa"/>
          </w:tcPr>
          <w:p w14:paraId="48F60B26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52 (43 – 62)</w:t>
            </w:r>
          </w:p>
        </w:tc>
      </w:tr>
      <w:tr w:rsidR="00920DB0" w:rsidRPr="00393EC0" w14:paraId="63239E67" w14:textId="77777777" w:rsidTr="00E540B5">
        <w:tc>
          <w:tcPr>
            <w:tcW w:w="3600" w:type="dxa"/>
          </w:tcPr>
          <w:p w14:paraId="56F120AE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Range</w:t>
            </w:r>
          </w:p>
        </w:tc>
        <w:tc>
          <w:tcPr>
            <w:tcW w:w="1100" w:type="dxa"/>
          </w:tcPr>
          <w:p w14:paraId="7B7F967D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  <w:tc>
          <w:tcPr>
            <w:tcW w:w="3000" w:type="dxa"/>
          </w:tcPr>
          <w:p w14:paraId="68BD2D19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  <w:tc>
          <w:tcPr>
            <w:tcW w:w="3700" w:type="dxa"/>
          </w:tcPr>
          <w:p w14:paraId="3C78034E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19 – 98</w:t>
            </w:r>
          </w:p>
        </w:tc>
      </w:tr>
      <w:tr w:rsidR="00920DB0" w:rsidRPr="00393EC0" w14:paraId="52838C20" w14:textId="77777777" w:rsidTr="00E540B5">
        <w:tc>
          <w:tcPr>
            <w:tcW w:w="3600" w:type="dxa"/>
            <w:shd w:val="clear" w:color="D9E1F2" w:fill="D9E1F2"/>
          </w:tcPr>
          <w:p w14:paraId="6880B1CD" w14:textId="77777777" w:rsidR="00920DB0" w:rsidRPr="00393EC0" w:rsidRDefault="00920DB0" w:rsidP="00E540B5">
            <w:pPr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</w:pPr>
            <w:r w:rsidRPr="00393EC0"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  <w:t>AGE GROUP DISTRIBUTION</w:t>
            </w:r>
          </w:p>
        </w:tc>
        <w:tc>
          <w:tcPr>
            <w:tcW w:w="1100" w:type="dxa"/>
            <w:shd w:val="clear" w:color="D9E1F2" w:fill="D9E1F2"/>
          </w:tcPr>
          <w:p w14:paraId="2C320441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000" w:type="dxa"/>
            <w:shd w:val="clear" w:color="D9E1F2" w:fill="D9E1F2"/>
          </w:tcPr>
          <w:p w14:paraId="15D9F1F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700" w:type="dxa"/>
            <w:shd w:val="clear" w:color="D9E1F2" w:fill="D9E1F2"/>
          </w:tcPr>
          <w:p w14:paraId="6524DEC8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920DB0" w:rsidRPr="00393EC0" w14:paraId="0B8FFFD0" w14:textId="77777777" w:rsidTr="00E540B5">
        <w:tc>
          <w:tcPr>
            <w:tcW w:w="3600" w:type="dxa"/>
          </w:tcPr>
          <w:p w14:paraId="1BA38FED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≤30 years</w:t>
            </w:r>
          </w:p>
        </w:tc>
        <w:tc>
          <w:tcPr>
            <w:tcW w:w="1100" w:type="dxa"/>
          </w:tcPr>
          <w:p w14:paraId="6CD54AF1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84</w:t>
            </w:r>
          </w:p>
        </w:tc>
        <w:tc>
          <w:tcPr>
            <w:tcW w:w="3000" w:type="dxa"/>
          </w:tcPr>
          <w:p w14:paraId="4DA8E334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3.6% (2.9 – 4.5%)</w:t>
            </w:r>
          </w:p>
        </w:tc>
        <w:tc>
          <w:tcPr>
            <w:tcW w:w="3700" w:type="dxa"/>
          </w:tcPr>
          <w:p w14:paraId="63213235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690EDBD8" w14:textId="77777777" w:rsidTr="00E540B5">
        <w:tc>
          <w:tcPr>
            <w:tcW w:w="3600" w:type="dxa"/>
          </w:tcPr>
          <w:p w14:paraId="2E5578E6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31–40 years</w:t>
            </w:r>
          </w:p>
        </w:tc>
        <w:tc>
          <w:tcPr>
            <w:tcW w:w="1100" w:type="dxa"/>
          </w:tcPr>
          <w:p w14:paraId="200BDB16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352</w:t>
            </w:r>
          </w:p>
        </w:tc>
        <w:tc>
          <w:tcPr>
            <w:tcW w:w="3000" w:type="dxa"/>
          </w:tcPr>
          <w:p w14:paraId="01E09212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15.2% (13.8 – 16.7%)</w:t>
            </w:r>
          </w:p>
        </w:tc>
        <w:tc>
          <w:tcPr>
            <w:tcW w:w="3700" w:type="dxa"/>
          </w:tcPr>
          <w:p w14:paraId="1F505D0F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23B26BA0" w14:textId="77777777" w:rsidTr="00E540B5">
        <w:tc>
          <w:tcPr>
            <w:tcW w:w="3600" w:type="dxa"/>
          </w:tcPr>
          <w:p w14:paraId="7A14E4AD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41–50 years</w:t>
            </w:r>
          </w:p>
        </w:tc>
        <w:tc>
          <w:tcPr>
            <w:tcW w:w="1100" w:type="dxa"/>
          </w:tcPr>
          <w:p w14:paraId="0E95C0AE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659</w:t>
            </w:r>
          </w:p>
        </w:tc>
        <w:tc>
          <w:tcPr>
            <w:tcW w:w="3000" w:type="dxa"/>
          </w:tcPr>
          <w:p w14:paraId="220D8231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28.5% (26.7 – 30.3%)</w:t>
            </w:r>
          </w:p>
        </w:tc>
        <w:tc>
          <w:tcPr>
            <w:tcW w:w="3700" w:type="dxa"/>
          </w:tcPr>
          <w:p w14:paraId="7B48675E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4893B9B2" w14:textId="77777777" w:rsidTr="00E540B5">
        <w:tc>
          <w:tcPr>
            <w:tcW w:w="3600" w:type="dxa"/>
          </w:tcPr>
          <w:p w14:paraId="0ED790F3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51–60 years</w:t>
            </w:r>
          </w:p>
        </w:tc>
        <w:tc>
          <w:tcPr>
            <w:tcW w:w="1100" w:type="dxa"/>
          </w:tcPr>
          <w:p w14:paraId="7EE07A1D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573</w:t>
            </w:r>
          </w:p>
        </w:tc>
        <w:tc>
          <w:tcPr>
            <w:tcW w:w="3000" w:type="dxa"/>
          </w:tcPr>
          <w:p w14:paraId="04B9A173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24.8% (23.0 – 26.6%)</w:t>
            </w:r>
          </w:p>
        </w:tc>
        <w:tc>
          <w:tcPr>
            <w:tcW w:w="3700" w:type="dxa"/>
          </w:tcPr>
          <w:p w14:paraId="60737671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4BDB5F78" w14:textId="77777777" w:rsidTr="00E540B5">
        <w:tc>
          <w:tcPr>
            <w:tcW w:w="3600" w:type="dxa"/>
          </w:tcPr>
          <w:p w14:paraId="6647CA0A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61–70 years</w:t>
            </w:r>
          </w:p>
        </w:tc>
        <w:tc>
          <w:tcPr>
            <w:tcW w:w="1100" w:type="dxa"/>
          </w:tcPr>
          <w:p w14:paraId="6B1EBC72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418</w:t>
            </w:r>
          </w:p>
        </w:tc>
        <w:tc>
          <w:tcPr>
            <w:tcW w:w="3000" w:type="dxa"/>
          </w:tcPr>
          <w:p w14:paraId="153040F3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18.1% (16.5 – 19.7%)</w:t>
            </w:r>
          </w:p>
        </w:tc>
        <w:tc>
          <w:tcPr>
            <w:tcW w:w="3700" w:type="dxa"/>
          </w:tcPr>
          <w:p w14:paraId="77387487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53AEBDA8" w14:textId="77777777" w:rsidTr="00E540B5">
        <w:tc>
          <w:tcPr>
            <w:tcW w:w="3600" w:type="dxa"/>
          </w:tcPr>
          <w:p w14:paraId="39EA6552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71–80 years</w:t>
            </w:r>
          </w:p>
        </w:tc>
        <w:tc>
          <w:tcPr>
            <w:tcW w:w="1100" w:type="dxa"/>
          </w:tcPr>
          <w:p w14:paraId="703DD5C0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189</w:t>
            </w:r>
          </w:p>
        </w:tc>
        <w:tc>
          <w:tcPr>
            <w:tcW w:w="3000" w:type="dxa"/>
          </w:tcPr>
          <w:p w14:paraId="0F3E1439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8.2% (7.1 – 9.4%)</w:t>
            </w:r>
          </w:p>
        </w:tc>
        <w:tc>
          <w:tcPr>
            <w:tcW w:w="3700" w:type="dxa"/>
          </w:tcPr>
          <w:p w14:paraId="5B9A90B8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60616094" w14:textId="77777777" w:rsidTr="00E540B5">
        <w:tc>
          <w:tcPr>
            <w:tcW w:w="3600" w:type="dxa"/>
          </w:tcPr>
          <w:p w14:paraId="71AEB590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&gt;80 years</w:t>
            </w:r>
          </w:p>
        </w:tc>
        <w:tc>
          <w:tcPr>
            <w:tcW w:w="1100" w:type="dxa"/>
          </w:tcPr>
          <w:p w14:paraId="567845D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40</w:t>
            </w:r>
          </w:p>
        </w:tc>
        <w:tc>
          <w:tcPr>
            <w:tcW w:w="3000" w:type="dxa"/>
          </w:tcPr>
          <w:p w14:paraId="5F1CB5CD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1.7% (1.3 – 2.3%)</w:t>
            </w:r>
          </w:p>
        </w:tc>
        <w:tc>
          <w:tcPr>
            <w:tcW w:w="3700" w:type="dxa"/>
          </w:tcPr>
          <w:p w14:paraId="6B77721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47AC81E9" w14:textId="77777777" w:rsidTr="00E540B5">
        <w:tc>
          <w:tcPr>
            <w:tcW w:w="3600" w:type="dxa"/>
            <w:shd w:val="clear" w:color="D9E1F2" w:fill="D9E1F2"/>
          </w:tcPr>
          <w:p w14:paraId="12C307D4" w14:textId="77777777" w:rsidR="00920DB0" w:rsidRPr="00393EC0" w:rsidRDefault="00920DB0" w:rsidP="00E540B5">
            <w:pPr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</w:pPr>
            <w:r w:rsidRPr="00393EC0"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  <w:t>ESTROGEN RECEPTOR (ER) STATUS (tested n = 2,005; missing n = 318)</w:t>
            </w:r>
          </w:p>
        </w:tc>
        <w:tc>
          <w:tcPr>
            <w:tcW w:w="1100" w:type="dxa"/>
            <w:shd w:val="clear" w:color="D9E1F2" w:fill="D9E1F2"/>
          </w:tcPr>
          <w:p w14:paraId="5F0FFF5E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000" w:type="dxa"/>
            <w:shd w:val="clear" w:color="D9E1F2" w:fill="D9E1F2"/>
          </w:tcPr>
          <w:p w14:paraId="03C4B190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700" w:type="dxa"/>
            <w:shd w:val="clear" w:color="D9E1F2" w:fill="D9E1F2"/>
          </w:tcPr>
          <w:p w14:paraId="2BDC90D2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920DB0" w:rsidRPr="00393EC0" w14:paraId="76EDA786" w14:textId="77777777" w:rsidTr="00E540B5">
        <w:tc>
          <w:tcPr>
            <w:tcW w:w="3600" w:type="dxa"/>
          </w:tcPr>
          <w:p w14:paraId="40009545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ER-positive</w:t>
            </w:r>
          </w:p>
        </w:tc>
        <w:tc>
          <w:tcPr>
            <w:tcW w:w="1100" w:type="dxa"/>
          </w:tcPr>
          <w:p w14:paraId="716B58CC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1,352</w:t>
            </w:r>
          </w:p>
        </w:tc>
        <w:tc>
          <w:tcPr>
            <w:tcW w:w="3000" w:type="dxa"/>
          </w:tcPr>
          <w:p w14:paraId="3E3A770E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67.4% (65.4 – 69.5%)</w:t>
            </w:r>
          </w:p>
        </w:tc>
        <w:tc>
          <w:tcPr>
            <w:tcW w:w="3700" w:type="dxa"/>
          </w:tcPr>
          <w:p w14:paraId="63F6321E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1C256D3F" w14:textId="77777777" w:rsidTr="00E540B5">
        <w:tc>
          <w:tcPr>
            <w:tcW w:w="3600" w:type="dxa"/>
          </w:tcPr>
          <w:p w14:paraId="1640BED6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ER-negative</w:t>
            </w:r>
          </w:p>
        </w:tc>
        <w:tc>
          <w:tcPr>
            <w:tcW w:w="1100" w:type="dxa"/>
          </w:tcPr>
          <w:p w14:paraId="4CE5D4A9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653</w:t>
            </w:r>
          </w:p>
        </w:tc>
        <w:tc>
          <w:tcPr>
            <w:tcW w:w="3000" w:type="dxa"/>
          </w:tcPr>
          <w:p w14:paraId="281C24B9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32.6% (30.6 – 34.7%)</w:t>
            </w:r>
          </w:p>
        </w:tc>
        <w:tc>
          <w:tcPr>
            <w:tcW w:w="3700" w:type="dxa"/>
          </w:tcPr>
          <w:p w14:paraId="5AB99211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1A37ED2C" w14:textId="77777777" w:rsidTr="00E540B5">
        <w:tc>
          <w:tcPr>
            <w:tcW w:w="3600" w:type="dxa"/>
            <w:shd w:val="clear" w:color="D9E1F2" w:fill="D9E1F2"/>
          </w:tcPr>
          <w:p w14:paraId="62DCBFE9" w14:textId="77777777" w:rsidR="00920DB0" w:rsidRPr="00393EC0" w:rsidRDefault="00920DB0" w:rsidP="00E540B5">
            <w:pPr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</w:pPr>
            <w:r w:rsidRPr="00393EC0"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  <w:t>PROGESTERONE RECEPTOR (PR) STATUS (tested n = 1,840; missing n = 483)</w:t>
            </w:r>
          </w:p>
        </w:tc>
        <w:tc>
          <w:tcPr>
            <w:tcW w:w="1100" w:type="dxa"/>
            <w:shd w:val="clear" w:color="D9E1F2" w:fill="D9E1F2"/>
          </w:tcPr>
          <w:p w14:paraId="49BB260F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000" w:type="dxa"/>
            <w:shd w:val="clear" w:color="D9E1F2" w:fill="D9E1F2"/>
          </w:tcPr>
          <w:p w14:paraId="2BAFF42D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700" w:type="dxa"/>
            <w:shd w:val="clear" w:color="D9E1F2" w:fill="D9E1F2"/>
          </w:tcPr>
          <w:p w14:paraId="18373D50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920DB0" w:rsidRPr="00393EC0" w14:paraId="138CAC26" w14:textId="77777777" w:rsidTr="00E540B5">
        <w:tc>
          <w:tcPr>
            <w:tcW w:w="3600" w:type="dxa"/>
          </w:tcPr>
          <w:p w14:paraId="6E9272E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PR-positive</w:t>
            </w:r>
          </w:p>
        </w:tc>
        <w:tc>
          <w:tcPr>
            <w:tcW w:w="1100" w:type="dxa"/>
          </w:tcPr>
          <w:p w14:paraId="034F9B95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1,166</w:t>
            </w:r>
          </w:p>
        </w:tc>
        <w:tc>
          <w:tcPr>
            <w:tcW w:w="3000" w:type="dxa"/>
          </w:tcPr>
          <w:p w14:paraId="2010607F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63.4% (61.1 – 65.5%)</w:t>
            </w:r>
          </w:p>
        </w:tc>
        <w:tc>
          <w:tcPr>
            <w:tcW w:w="3700" w:type="dxa"/>
          </w:tcPr>
          <w:p w14:paraId="2F52B8EA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2D388340" w14:textId="77777777" w:rsidTr="00E540B5">
        <w:tc>
          <w:tcPr>
            <w:tcW w:w="3600" w:type="dxa"/>
          </w:tcPr>
          <w:p w14:paraId="16B4D7B1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PR-negative</w:t>
            </w:r>
          </w:p>
        </w:tc>
        <w:tc>
          <w:tcPr>
            <w:tcW w:w="1100" w:type="dxa"/>
          </w:tcPr>
          <w:p w14:paraId="32C36962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674</w:t>
            </w:r>
          </w:p>
        </w:tc>
        <w:tc>
          <w:tcPr>
            <w:tcW w:w="3000" w:type="dxa"/>
          </w:tcPr>
          <w:p w14:paraId="0DAEA467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36.6% (34.5 – 38.9%)</w:t>
            </w:r>
          </w:p>
        </w:tc>
        <w:tc>
          <w:tcPr>
            <w:tcW w:w="3700" w:type="dxa"/>
          </w:tcPr>
          <w:p w14:paraId="7FE5C80C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4B928321" w14:textId="77777777" w:rsidTr="00E540B5">
        <w:tc>
          <w:tcPr>
            <w:tcW w:w="3600" w:type="dxa"/>
            <w:shd w:val="clear" w:color="D9E1F2" w:fill="D9E1F2"/>
          </w:tcPr>
          <w:p w14:paraId="6C0FF0B6" w14:textId="77777777" w:rsidR="00920DB0" w:rsidRPr="00393EC0" w:rsidRDefault="00920DB0" w:rsidP="00E540B5">
            <w:pPr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</w:pPr>
            <w:r w:rsidRPr="00393EC0"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  <w:t>HER2 STATUS (tested n = 1,985; missing n = 338)</w:t>
            </w:r>
          </w:p>
        </w:tc>
        <w:tc>
          <w:tcPr>
            <w:tcW w:w="1100" w:type="dxa"/>
            <w:shd w:val="clear" w:color="D9E1F2" w:fill="D9E1F2"/>
          </w:tcPr>
          <w:p w14:paraId="3A925461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000" w:type="dxa"/>
            <w:shd w:val="clear" w:color="D9E1F2" w:fill="D9E1F2"/>
          </w:tcPr>
          <w:p w14:paraId="1ABBD433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700" w:type="dxa"/>
            <w:shd w:val="clear" w:color="D9E1F2" w:fill="D9E1F2"/>
          </w:tcPr>
          <w:p w14:paraId="32C85C87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920DB0" w:rsidRPr="00393EC0" w14:paraId="623B157F" w14:textId="77777777" w:rsidTr="00E540B5">
        <w:tc>
          <w:tcPr>
            <w:tcW w:w="3600" w:type="dxa"/>
          </w:tcPr>
          <w:p w14:paraId="4EBD6BE5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HER2-positive</w:t>
            </w:r>
          </w:p>
        </w:tc>
        <w:tc>
          <w:tcPr>
            <w:tcW w:w="1100" w:type="dxa"/>
          </w:tcPr>
          <w:p w14:paraId="53E1010A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425</w:t>
            </w:r>
          </w:p>
        </w:tc>
        <w:tc>
          <w:tcPr>
            <w:tcW w:w="3000" w:type="dxa"/>
          </w:tcPr>
          <w:p w14:paraId="79F1B618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21.4% (19.7 – 23.3%)</w:t>
            </w:r>
          </w:p>
        </w:tc>
        <w:tc>
          <w:tcPr>
            <w:tcW w:w="3700" w:type="dxa"/>
          </w:tcPr>
          <w:p w14:paraId="48E3B246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60AB5E9F" w14:textId="77777777" w:rsidTr="00E540B5">
        <w:tc>
          <w:tcPr>
            <w:tcW w:w="3600" w:type="dxa"/>
          </w:tcPr>
          <w:p w14:paraId="0FB4A2D3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HER2-negative</w:t>
            </w:r>
          </w:p>
        </w:tc>
        <w:tc>
          <w:tcPr>
            <w:tcW w:w="1100" w:type="dxa"/>
          </w:tcPr>
          <w:p w14:paraId="1FD72B88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1,560</w:t>
            </w:r>
          </w:p>
        </w:tc>
        <w:tc>
          <w:tcPr>
            <w:tcW w:w="3000" w:type="dxa"/>
          </w:tcPr>
          <w:p w14:paraId="1CADC0B2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78.6% (76.7 – 80.3%)</w:t>
            </w:r>
          </w:p>
        </w:tc>
        <w:tc>
          <w:tcPr>
            <w:tcW w:w="3700" w:type="dxa"/>
          </w:tcPr>
          <w:p w14:paraId="50C640A8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152E0EBE" w14:textId="77777777" w:rsidTr="00E540B5">
        <w:tc>
          <w:tcPr>
            <w:tcW w:w="3600" w:type="dxa"/>
            <w:shd w:val="clear" w:color="D9E1F2" w:fill="D9E1F2"/>
          </w:tcPr>
          <w:p w14:paraId="2959E1B0" w14:textId="77777777" w:rsidR="00920DB0" w:rsidRPr="00393EC0" w:rsidRDefault="00920DB0" w:rsidP="00E540B5">
            <w:pPr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</w:pPr>
            <w:r w:rsidRPr="00393EC0"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  <w:t>KI-67 PROLIFERATION INDEX (tested n = 652; missing n = 1,671)</w:t>
            </w:r>
          </w:p>
        </w:tc>
        <w:tc>
          <w:tcPr>
            <w:tcW w:w="1100" w:type="dxa"/>
            <w:shd w:val="clear" w:color="D9E1F2" w:fill="D9E1F2"/>
          </w:tcPr>
          <w:p w14:paraId="7833F44D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000" w:type="dxa"/>
            <w:shd w:val="clear" w:color="D9E1F2" w:fill="D9E1F2"/>
          </w:tcPr>
          <w:p w14:paraId="7C30263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700" w:type="dxa"/>
            <w:shd w:val="clear" w:color="D9E1F2" w:fill="D9E1F2"/>
          </w:tcPr>
          <w:p w14:paraId="5E3793CD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920DB0" w:rsidRPr="00393EC0" w14:paraId="62A1434F" w14:textId="77777777" w:rsidTr="00E540B5">
        <w:tc>
          <w:tcPr>
            <w:tcW w:w="3600" w:type="dxa"/>
          </w:tcPr>
          <w:p w14:paraId="22F85EC0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Ki-67-positive (any expression)</w:t>
            </w:r>
          </w:p>
        </w:tc>
        <w:tc>
          <w:tcPr>
            <w:tcW w:w="1100" w:type="dxa"/>
          </w:tcPr>
          <w:p w14:paraId="2D57A96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648</w:t>
            </w:r>
          </w:p>
        </w:tc>
        <w:tc>
          <w:tcPr>
            <w:tcW w:w="3000" w:type="dxa"/>
          </w:tcPr>
          <w:p w14:paraId="170B3428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99.4% (98.4 – 99.8%)</w:t>
            </w:r>
          </w:p>
        </w:tc>
        <w:tc>
          <w:tcPr>
            <w:tcW w:w="3700" w:type="dxa"/>
          </w:tcPr>
          <w:p w14:paraId="23DCA48C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3302EC68" w14:textId="77777777" w:rsidTr="00E540B5">
        <w:tc>
          <w:tcPr>
            <w:tcW w:w="3600" w:type="dxa"/>
          </w:tcPr>
          <w:p w14:paraId="5FA00D3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Ki-67-negative</w:t>
            </w:r>
          </w:p>
        </w:tc>
        <w:tc>
          <w:tcPr>
            <w:tcW w:w="1100" w:type="dxa"/>
          </w:tcPr>
          <w:p w14:paraId="1A2880F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4</w:t>
            </w:r>
          </w:p>
        </w:tc>
        <w:tc>
          <w:tcPr>
            <w:tcW w:w="3000" w:type="dxa"/>
          </w:tcPr>
          <w:p w14:paraId="1EE8C9E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0.6% (0.2 – 1.6%)</w:t>
            </w:r>
          </w:p>
        </w:tc>
        <w:tc>
          <w:tcPr>
            <w:tcW w:w="3700" w:type="dxa"/>
          </w:tcPr>
          <w:p w14:paraId="639700B4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3D6AA731" w14:textId="77777777" w:rsidTr="00E540B5">
        <w:tc>
          <w:tcPr>
            <w:tcW w:w="3600" w:type="dxa"/>
          </w:tcPr>
          <w:p w14:paraId="123424A8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Ki-67 testing rate</w:t>
            </w:r>
          </w:p>
        </w:tc>
        <w:tc>
          <w:tcPr>
            <w:tcW w:w="1100" w:type="dxa"/>
          </w:tcPr>
          <w:p w14:paraId="756EF075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652/2,323</w:t>
            </w:r>
          </w:p>
        </w:tc>
        <w:tc>
          <w:tcPr>
            <w:tcW w:w="3000" w:type="dxa"/>
          </w:tcPr>
          <w:p w14:paraId="3C0BB7E2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28.1%</w:t>
            </w:r>
          </w:p>
        </w:tc>
        <w:tc>
          <w:tcPr>
            <w:tcW w:w="3700" w:type="dxa"/>
          </w:tcPr>
          <w:p w14:paraId="289A2ADA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Selective ordering — see text</w:t>
            </w:r>
          </w:p>
        </w:tc>
      </w:tr>
      <w:tr w:rsidR="00920DB0" w:rsidRPr="00393EC0" w14:paraId="02BCA10D" w14:textId="77777777" w:rsidTr="00E540B5">
        <w:tc>
          <w:tcPr>
            <w:tcW w:w="3600" w:type="dxa"/>
            <w:shd w:val="clear" w:color="D9E1F2" w:fill="D9E1F2"/>
          </w:tcPr>
          <w:p w14:paraId="3F9CCCE8" w14:textId="77777777" w:rsidR="00920DB0" w:rsidRPr="00393EC0" w:rsidRDefault="00920DB0" w:rsidP="00E540B5">
            <w:pPr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</w:pPr>
            <w:r w:rsidRPr="00393EC0"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  <w:t>MOLECULAR SURROGATE SUBTYPES (complete triple-marker, n = 1,628)</w:t>
            </w:r>
          </w:p>
        </w:tc>
        <w:tc>
          <w:tcPr>
            <w:tcW w:w="1100" w:type="dxa"/>
            <w:shd w:val="clear" w:color="D9E1F2" w:fill="D9E1F2"/>
          </w:tcPr>
          <w:p w14:paraId="7D6DAC68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000" w:type="dxa"/>
            <w:shd w:val="clear" w:color="D9E1F2" w:fill="D9E1F2"/>
          </w:tcPr>
          <w:p w14:paraId="737C0099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700" w:type="dxa"/>
            <w:shd w:val="clear" w:color="D9E1F2" w:fill="D9E1F2"/>
          </w:tcPr>
          <w:p w14:paraId="772FE04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920DB0" w:rsidRPr="00393EC0" w14:paraId="79028BDA" w14:textId="77777777" w:rsidTr="00E540B5">
        <w:tc>
          <w:tcPr>
            <w:tcW w:w="3600" w:type="dxa"/>
          </w:tcPr>
          <w:p w14:paraId="197B1052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Luminal A-like  (HR+/HER2−)</w:t>
            </w:r>
          </w:p>
        </w:tc>
        <w:tc>
          <w:tcPr>
            <w:tcW w:w="1100" w:type="dxa"/>
          </w:tcPr>
          <w:p w14:paraId="212DCDC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988</w:t>
            </w:r>
          </w:p>
        </w:tc>
        <w:tc>
          <w:tcPr>
            <w:tcW w:w="3000" w:type="dxa"/>
          </w:tcPr>
          <w:p w14:paraId="753CB178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60.7% (58.3 – 63.0%)</w:t>
            </w:r>
          </w:p>
        </w:tc>
        <w:tc>
          <w:tcPr>
            <w:tcW w:w="3700" w:type="dxa"/>
          </w:tcPr>
          <w:p w14:paraId="347148CC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Mean age 54.1 yr (95% CI 53.3 – 54.9)</w:t>
            </w:r>
          </w:p>
        </w:tc>
      </w:tr>
      <w:tr w:rsidR="00920DB0" w:rsidRPr="00393EC0" w14:paraId="754A315E" w14:textId="77777777" w:rsidTr="00E540B5">
        <w:tc>
          <w:tcPr>
            <w:tcW w:w="3600" w:type="dxa"/>
          </w:tcPr>
          <w:p w14:paraId="71BC30EA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Luminal B HER2+  (HR+/HER2+)</w:t>
            </w:r>
          </w:p>
        </w:tc>
        <w:tc>
          <w:tcPr>
            <w:tcW w:w="1100" w:type="dxa"/>
          </w:tcPr>
          <w:p w14:paraId="5BAD71A0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193</w:t>
            </w:r>
          </w:p>
        </w:tc>
        <w:tc>
          <w:tcPr>
            <w:tcW w:w="3000" w:type="dxa"/>
          </w:tcPr>
          <w:p w14:paraId="27ECE144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11.9% (10.4 – 13.5%)</w:t>
            </w:r>
          </w:p>
        </w:tc>
        <w:tc>
          <w:tcPr>
            <w:tcW w:w="3700" w:type="dxa"/>
          </w:tcPr>
          <w:p w14:paraId="458AB4E3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Mean age 51.1 yr (95% CI 49.3 – 52.9)</w:t>
            </w:r>
          </w:p>
        </w:tc>
      </w:tr>
      <w:tr w:rsidR="00920DB0" w:rsidRPr="00393EC0" w14:paraId="70898E5B" w14:textId="77777777" w:rsidTr="00E540B5">
        <w:tc>
          <w:tcPr>
            <w:tcW w:w="3600" w:type="dxa"/>
          </w:tcPr>
          <w:p w14:paraId="3A54D93C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HER2-enriched  (HR−/HER2+)</w:t>
            </w:r>
          </w:p>
        </w:tc>
        <w:tc>
          <w:tcPr>
            <w:tcW w:w="1100" w:type="dxa"/>
          </w:tcPr>
          <w:p w14:paraId="641EB6D3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161</w:t>
            </w:r>
          </w:p>
        </w:tc>
        <w:tc>
          <w:tcPr>
            <w:tcW w:w="3000" w:type="dxa"/>
          </w:tcPr>
          <w:p w14:paraId="0958A94D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9.9% (8.5 – 11.4%)</w:t>
            </w:r>
          </w:p>
        </w:tc>
        <w:tc>
          <w:tcPr>
            <w:tcW w:w="3700" w:type="dxa"/>
          </w:tcPr>
          <w:p w14:paraId="2963B0FC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Mean age 48.8 yr (95% CI 47.0 – 50.5)</w:t>
            </w:r>
          </w:p>
        </w:tc>
      </w:tr>
      <w:tr w:rsidR="00920DB0" w:rsidRPr="00393EC0" w14:paraId="7D5043A4" w14:textId="77777777" w:rsidTr="00E540B5">
        <w:tc>
          <w:tcPr>
            <w:tcW w:w="3600" w:type="dxa"/>
          </w:tcPr>
          <w:p w14:paraId="68273EF4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Triple-negative  (HR−/HER2−)</w:t>
            </w:r>
          </w:p>
        </w:tc>
        <w:tc>
          <w:tcPr>
            <w:tcW w:w="1100" w:type="dxa"/>
          </w:tcPr>
          <w:p w14:paraId="44A70742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286</w:t>
            </w:r>
          </w:p>
        </w:tc>
        <w:tc>
          <w:tcPr>
            <w:tcW w:w="3000" w:type="dxa"/>
          </w:tcPr>
          <w:p w14:paraId="56CE490A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17.6% (15.8 – 19.5%)</w:t>
            </w:r>
          </w:p>
        </w:tc>
        <w:tc>
          <w:tcPr>
            <w:tcW w:w="3700" w:type="dxa"/>
          </w:tcPr>
          <w:p w14:paraId="42D4EB36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Mean age 51.3 yr (95% CI 49.8 – 52.9)</w:t>
            </w:r>
          </w:p>
        </w:tc>
      </w:tr>
      <w:tr w:rsidR="00920DB0" w:rsidRPr="00393EC0" w14:paraId="674FFC85" w14:textId="77777777" w:rsidTr="00E540B5">
        <w:tc>
          <w:tcPr>
            <w:tcW w:w="3600" w:type="dxa"/>
          </w:tcPr>
          <w:p w14:paraId="0B3FE04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lastRenderedPageBreak/>
              <w:t>Unclassifiable (incomplete data)</w:t>
            </w:r>
          </w:p>
        </w:tc>
        <w:tc>
          <w:tcPr>
            <w:tcW w:w="1100" w:type="dxa"/>
          </w:tcPr>
          <w:p w14:paraId="2C8C5E83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695</w:t>
            </w:r>
          </w:p>
        </w:tc>
        <w:tc>
          <w:tcPr>
            <w:tcW w:w="3000" w:type="dxa"/>
          </w:tcPr>
          <w:p w14:paraId="20128316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29.9% of cohort</w:t>
            </w:r>
          </w:p>
        </w:tc>
        <w:tc>
          <w:tcPr>
            <w:tcW w:w="3700" w:type="dxa"/>
          </w:tcPr>
          <w:p w14:paraId="013B9F04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4C89D6E1" w14:textId="77777777" w:rsidTr="00E540B5">
        <w:tc>
          <w:tcPr>
            <w:tcW w:w="3600" w:type="dxa"/>
            <w:shd w:val="clear" w:color="D9E1F2" w:fill="D9E1F2"/>
          </w:tcPr>
          <w:p w14:paraId="029770A2" w14:textId="77777777" w:rsidR="00920DB0" w:rsidRPr="00393EC0" w:rsidRDefault="00920DB0" w:rsidP="00E540B5">
            <w:pPr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</w:pPr>
            <w:r w:rsidRPr="00393EC0"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  <w:t>COMBINED SUBTYPE CATEGORIES (of classifiable, n = 1,628)</w:t>
            </w:r>
          </w:p>
        </w:tc>
        <w:tc>
          <w:tcPr>
            <w:tcW w:w="1100" w:type="dxa"/>
            <w:shd w:val="clear" w:color="D9E1F2" w:fill="D9E1F2"/>
          </w:tcPr>
          <w:p w14:paraId="06C8AE87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000" w:type="dxa"/>
            <w:shd w:val="clear" w:color="D9E1F2" w:fill="D9E1F2"/>
          </w:tcPr>
          <w:p w14:paraId="5BDC22F2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700" w:type="dxa"/>
            <w:shd w:val="clear" w:color="D9E1F2" w:fill="D9E1F2"/>
          </w:tcPr>
          <w:p w14:paraId="27358DB3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920DB0" w:rsidRPr="00393EC0" w14:paraId="08D4863E" w14:textId="77777777" w:rsidTr="00E540B5">
        <w:tc>
          <w:tcPr>
            <w:tcW w:w="3600" w:type="dxa"/>
          </w:tcPr>
          <w:p w14:paraId="5F05612F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Any HER2-positive (Luminal B + HER2-enriched)</w:t>
            </w:r>
          </w:p>
        </w:tc>
        <w:tc>
          <w:tcPr>
            <w:tcW w:w="1100" w:type="dxa"/>
          </w:tcPr>
          <w:p w14:paraId="6C6E340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354</w:t>
            </w:r>
          </w:p>
        </w:tc>
        <w:tc>
          <w:tcPr>
            <w:tcW w:w="3000" w:type="dxa"/>
          </w:tcPr>
          <w:p w14:paraId="5ACF8062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21.8% (19.8 – 23.8%)</w:t>
            </w:r>
          </w:p>
        </w:tc>
        <w:tc>
          <w:tcPr>
            <w:tcW w:w="3700" w:type="dxa"/>
          </w:tcPr>
          <w:p w14:paraId="657D0924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3416C3AA" w14:textId="77777777" w:rsidTr="00E540B5">
        <w:tc>
          <w:tcPr>
            <w:tcW w:w="3600" w:type="dxa"/>
          </w:tcPr>
          <w:p w14:paraId="5C2EBC08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Hormone-receptor-negative (HER2-enriched + TNBC)</w:t>
            </w:r>
          </w:p>
        </w:tc>
        <w:tc>
          <w:tcPr>
            <w:tcW w:w="1100" w:type="dxa"/>
          </w:tcPr>
          <w:p w14:paraId="07F07200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447</w:t>
            </w:r>
          </w:p>
        </w:tc>
        <w:tc>
          <w:tcPr>
            <w:tcW w:w="3000" w:type="dxa"/>
          </w:tcPr>
          <w:p w14:paraId="2E521D7A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27.5% (25.3 – 29.7%)</w:t>
            </w:r>
          </w:p>
        </w:tc>
        <w:tc>
          <w:tcPr>
            <w:tcW w:w="3700" w:type="dxa"/>
          </w:tcPr>
          <w:p w14:paraId="1F41A2FF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44C53E6A" w14:textId="77777777" w:rsidTr="00E540B5">
        <w:tc>
          <w:tcPr>
            <w:tcW w:w="3600" w:type="dxa"/>
            <w:shd w:val="clear" w:color="D9E1F2" w:fill="D9E1F2"/>
          </w:tcPr>
          <w:p w14:paraId="685D1EFB" w14:textId="77777777" w:rsidR="00920DB0" w:rsidRPr="00393EC0" w:rsidRDefault="00920DB0" w:rsidP="00E540B5">
            <w:pPr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</w:pPr>
            <w:r w:rsidRPr="00393EC0"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  <w:t>GEOGRAPHIC DISTRIBUTION (top 10 governorates/localities)</w:t>
            </w:r>
          </w:p>
        </w:tc>
        <w:tc>
          <w:tcPr>
            <w:tcW w:w="1100" w:type="dxa"/>
            <w:shd w:val="clear" w:color="D9E1F2" w:fill="D9E1F2"/>
          </w:tcPr>
          <w:p w14:paraId="577A754C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000" w:type="dxa"/>
            <w:shd w:val="clear" w:color="D9E1F2" w:fill="D9E1F2"/>
          </w:tcPr>
          <w:p w14:paraId="0FF2D6F4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700" w:type="dxa"/>
            <w:shd w:val="clear" w:color="D9E1F2" w:fill="D9E1F2"/>
          </w:tcPr>
          <w:p w14:paraId="722D0928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920DB0" w:rsidRPr="00393EC0" w14:paraId="17252BB2" w14:textId="77777777" w:rsidTr="00E540B5">
        <w:tc>
          <w:tcPr>
            <w:tcW w:w="3600" w:type="dxa"/>
          </w:tcPr>
          <w:p w14:paraId="5DF83E26" w14:textId="71BAC242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 xml:space="preserve">Nablus </w:t>
            </w:r>
          </w:p>
        </w:tc>
        <w:tc>
          <w:tcPr>
            <w:tcW w:w="1100" w:type="dxa"/>
          </w:tcPr>
          <w:p w14:paraId="17752940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1,196</w:t>
            </w:r>
          </w:p>
        </w:tc>
        <w:tc>
          <w:tcPr>
            <w:tcW w:w="3000" w:type="dxa"/>
          </w:tcPr>
          <w:p w14:paraId="04BC2FE1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51.5%</w:t>
            </w:r>
          </w:p>
        </w:tc>
        <w:tc>
          <w:tcPr>
            <w:tcW w:w="3700" w:type="dxa"/>
          </w:tcPr>
          <w:p w14:paraId="428583FC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Largest contributing governorate</w:t>
            </w:r>
          </w:p>
        </w:tc>
      </w:tr>
      <w:tr w:rsidR="00920DB0" w:rsidRPr="00393EC0" w14:paraId="0D39D783" w14:textId="77777777" w:rsidTr="00E540B5">
        <w:tc>
          <w:tcPr>
            <w:tcW w:w="3600" w:type="dxa"/>
          </w:tcPr>
          <w:p w14:paraId="080A1AA4" w14:textId="54A722DD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 xml:space="preserve">Ramallah &amp; Al-Bireh </w:t>
            </w:r>
          </w:p>
        </w:tc>
        <w:tc>
          <w:tcPr>
            <w:tcW w:w="1100" w:type="dxa"/>
          </w:tcPr>
          <w:p w14:paraId="06ACCA4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485</w:t>
            </w:r>
          </w:p>
        </w:tc>
        <w:tc>
          <w:tcPr>
            <w:tcW w:w="3000" w:type="dxa"/>
          </w:tcPr>
          <w:p w14:paraId="2DD94204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20.9%</w:t>
            </w:r>
          </w:p>
        </w:tc>
        <w:tc>
          <w:tcPr>
            <w:tcW w:w="3700" w:type="dxa"/>
          </w:tcPr>
          <w:p w14:paraId="02C651B9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312A1223" w14:textId="77777777" w:rsidTr="00E540B5">
        <w:tc>
          <w:tcPr>
            <w:tcW w:w="3600" w:type="dxa"/>
          </w:tcPr>
          <w:p w14:paraId="7F0D83FF" w14:textId="4B6DF263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 xml:space="preserve">Tulkarm </w:t>
            </w:r>
          </w:p>
        </w:tc>
        <w:tc>
          <w:tcPr>
            <w:tcW w:w="1100" w:type="dxa"/>
          </w:tcPr>
          <w:p w14:paraId="448DC271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211</w:t>
            </w:r>
          </w:p>
        </w:tc>
        <w:tc>
          <w:tcPr>
            <w:tcW w:w="3000" w:type="dxa"/>
          </w:tcPr>
          <w:p w14:paraId="0D693A80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9.1%</w:t>
            </w:r>
          </w:p>
        </w:tc>
        <w:tc>
          <w:tcPr>
            <w:tcW w:w="3700" w:type="dxa"/>
          </w:tcPr>
          <w:p w14:paraId="18F604FD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0E5B5EBA" w14:textId="77777777" w:rsidTr="00E540B5">
        <w:tc>
          <w:tcPr>
            <w:tcW w:w="3600" w:type="dxa"/>
          </w:tcPr>
          <w:p w14:paraId="36069358" w14:textId="123E6473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 xml:space="preserve">Jenin </w:t>
            </w:r>
          </w:p>
        </w:tc>
        <w:tc>
          <w:tcPr>
            <w:tcW w:w="1100" w:type="dxa"/>
          </w:tcPr>
          <w:p w14:paraId="354F6D83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209</w:t>
            </w:r>
          </w:p>
        </w:tc>
        <w:tc>
          <w:tcPr>
            <w:tcW w:w="3000" w:type="dxa"/>
          </w:tcPr>
          <w:p w14:paraId="43290C90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9.0%</w:t>
            </w:r>
          </w:p>
        </w:tc>
        <w:tc>
          <w:tcPr>
            <w:tcW w:w="3700" w:type="dxa"/>
          </w:tcPr>
          <w:p w14:paraId="18D3BF37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152EDF82" w14:textId="77777777" w:rsidTr="00E540B5">
        <w:tc>
          <w:tcPr>
            <w:tcW w:w="3600" w:type="dxa"/>
          </w:tcPr>
          <w:p w14:paraId="624DAC75" w14:textId="5D7131D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 xml:space="preserve">Bethlehem </w:t>
            </w:r>
          </w:p>
        </w:tc>
        <w:tc>
          <w:tcPr>
            <w:tcW w:w="1100" w:type="dxa"/>
          </w:tcPr>
          <w:p w14:paraId="58DDE8C2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135</w:t>
            </w:r>
          </w:p>
        </w:tc>
        <w:tc>
          <w:tcPr>
            <w:tcW w:w="3000" w:type="dxa"/>
          </w:tcPr>
          <w:p w14:paraId="543735AA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5.8%</w:t>
            </w:r>
          </w:p>
        </w:tc>
        <w:tc>
          <w:tcPr>
            <w:tcW w:w="3700" w:type="dxa"/>
          </w:tcPr>
          <w:p w14:paraId="651296C5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34369FAB" w14:textId="77777777" w:rsidTr="00E540B5">
        <w:tc>
          <w:tcPr>
            <w:tcW w:w="3600" w:type="dxa"/>
          </w:tcPr>
          <w:p w14:paraId="42412CD5" w14:textId="2E13E80D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 xml:space="preserve">Hebron </w:t>
            </w:r>
          </w:p>
        </w:tc>
        <w:tc>
          <w:tcPr>
            <w:tcW w:w="1100" w:type="dxa"/>
          </w:tcPr>
          <w:p w14:paraId="5961C078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44</w:t>
            </w:r>
          </w:p>
        </w:tc>
        <w:tc>
          <w:tcPr>
            <w:tcW w:w="3000" w:type="dxa"/>
          </w:tcPr>
          <w:p w14:paraId="16219450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1.9%</w:t>
            </w:r>
          </w:p>
        </w:tc>
        <w:tc>
          <w:tcPr>
            <w:tcW w:w="3700" w:type="dxa"/>
          </w:tcPr>
          <w:p w14:paraId="214376F0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20638EAB" w14:textId="77777777" w:rsidTr="00E540B5">
        <w:tc>
          <w:tcPr>
            <w:tcW w:w="3600" w:type="dxa"/>
          </w:tcPr>
          <w:p w14:paraId="2E982BBA" w14:textId="1142C6AA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 xml:space="preserve">Jericho </w:t>
            </w:r>
          </w:p>
        </w:tc>
        <w:tc>
          <w:tcPr>
            <w:tcW w:w="1100" w:type="dxa"/>
          </w:tcPr>
          <w:p w14:paraId="1ED258C9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17</w:t>
            </w:r>
          </w:p>
        </w:tc>
        <w:tc>
          <w:tcPr>
            <w:tcW w:w="3000" w:type="dxa"/>
          </w:tcPr>
          <w:p w14:paraId="06A4E52C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0.7%</w:t>
            </w:r>
          </w:p>
        </w:tc>
        <w:tc>
          <w:tcPr>
            <w:tcW w:w="3700" w:type="dxa"/>
          </w:tcPr>
          <w:p w14:paraId="7EF88DC4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3EDF4AD1" w14:textId="77777777" w:rsidTr="00E540B5">
        <w:tc>
          <w:tcPr>
            <w:tcW w:w="3600" w:type="dxa"/>
          </w:tcPr>
          <w:p w14:paraId="2664F058" w14:textId="1E5B4D9C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 xml:space="preserve">Qalqilya </w:t>
            </w:r>
          </w:p>
        </w:tc>
        <w:tc>
          <w:tcPr>
            <w:tcW w:w="1100" w:type="dxa"/>
          </w:tcPr>
          <w:p w14:paraId="0965189E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14</w:t>
            </w:r>
          </w:p>
        </w:tc>
        <w:tc>
          <w:tcPr>
            <w:tcW w:w="3000" w:type="dxa"/>
          </w:tcPr>
          <w:p w14:paraId="066E252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0.6%</w:t>
            </w:r>
          </w:p>
        </w:tc>
        <w:tc>
          <w:tcPr>
            <w:tcW w:w="3700" w:type="dxa"/>
          </w:tcPr>
          <w:p w14:paraId="4A9485D6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40B5DEE9" w14:textId="77777777" w:rsidTr="00E540B5">
        <w:tc>
          <w:tcPr>
            <w:tcW w:w="3600" w:type="dxa"/>
          </w:tcPr>
          <w:p w14:paraId="1746193B" w14:textId="0882F5CD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 xml:space="preserve">Tubas </w:t>
            </w:r>
          </w:p>
        </w:tc>
        <w:tc>
          <w:tcPr>
            <w:tcW w:w="1100" w:type="dxa"/>
          </w:tcPr>
          <w:p w14:paraId="7742B616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6</w:t>
            </w:r>
          </w:p>
        </w:tc>
        <w:tc>
          <w:tcPr>
            <w:tcW w:w="3000" w:type="dxa"/>
          </w:tcPr>
          <w:p w14:paraId="55505909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0.3%</w:t>
            </w:r>
          </w:p>
        </w:tc>
        <w:tc>
          <w:tcPr>
            <w:tcW w:w="3700" w:type="dxa"/>
          </w:tcPr>
          <w:p w14:paraId="06748F9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1672226E" w14:textId="77777777" w:rsidTr="00E540B5">
        <w:tc>
          <w:tcPr>
            <w:tcW w:w="3600" w:type="dxa"/>
          </w:tcPr>
          <w:p w14:paraId="1C3573ED" w14:textId="0188FA04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 xml:space="preserve">Salfit </w:t>
            </w:r>
          </w:p>
        </w:tc>
        <w:tc>
          <w:tcPr>
            <w:tcW w:w="1100" w:type="dxa"/>
          </w:tcPr>
          <w:p w14:paraId="49AD186C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5</w:t>
            </w:r>
          </w:p>
        </w:tc>
        <w:tc>
          <w:tcPr>
            <w:tcW w:w="3000" w:type="dxa"/>
          </w:tcPr>
          <w:p w14:paraId="108ED276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0.2%</w:t>
            </w:r>
          </w:p>
        </w:tc>
        <w:tc>
          <w:tcPr>
            <w:tcW w:w="3700" w:type="dxa"/>
          </w:tcPr>
          <w:p w14:paraId="522CA992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—</w:t>
            </w:r>
          </w:p>
        </w:tc>
      </w:tr>
      <w:tr w:rsidR="00920DB0" w:rsidRPr="00393EC0" w14:paraId="5DEF971F" w14:textId="77777777" w:rsidTr="00E540B5">
        <w:tc>
          <w:tcPr>
            <w:tcW w:w="3600" w:type="dxa"/>
            <w:shd w:val="clear" w:color="D9E1F2" w:fill="D9E1F2"/>
          </w:tcPr>
          <w:p w14:paraId="339F8804" w14:textId="77777777" w:rsidR="00920DB0" w:rsidRPr="00393EC0" w:rsidRDefault="00920DB0" w:rsidP="00E540B5">
            <w:pPr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</w:pPr>
            <w:r w:rsidRPr="00393EC0">
              <w:rPr>
                <w:rFonts w:ascii="Times New Roman" w:hAnsi="Times New Roman" w:cs="Times New Roman"/>
                <w:b/>
                <w:i/>
                <w:color w:val="1F3864"/>
                <w:sz w:val="18"/>
              </w:rPr>
              <w:t>TEMPORAL DISTRIBUTION (5-year periods)</w:t>
            </w:r>
          </w:p>
        </w:tc>
        <w:tc>
          <w:tcPr>
            <w:tcW w:w="1100" w:type="dxa"/>
            <w:shd w:val="clear" w:color="D9E1F2" w:fill="D9E1F2"/>
          </w:tcPr>
          <w:p w14:paraId="0A31C1D2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000" w:type="dxa"/>
            <w:shd w:val="clear" w:color="D9E1F2" w:fill="D9E1F2"/>
          </w:tcPr>
          <w:p w14:paraId="31E549E4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3700" w:type="dxa"/>
            <w:shd w:val="clear" w:color="D9E1F2" w:fill="D9E1F2"/>
          </w:tcPr>
          <w:p w14:paraId="445076EF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</w:p>
        </w:tc>
      </w:tr>
      <w:tr w:rsidR="00920DB0" w:rsidRPr="00393EC0" w14:paraId="5F1EC354" w14:textId="77777777" w:rsidTr="00E540B5">
        <w:tc>
          <w:tcPr>
            <w:tcW w:w="3600" w:type="dxa"/>
          </w:tcPr>
          <w:p w14:paraId="4B857A78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2006–2010</w:t>
            </w:r>
          </w:p>
        </w:tc>
        <w:tc>
          <w:tcPr>
            <w:tcW w:w="1100" w:type="dxa"/>
          </w:tcPr>
          <w:p w14:paraId="5AB8313F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109</w:t>
            </w:r>
          </w:p>
        </w:tc>
        <w:tc>
          <w:tcPr>
            <w:tcW w:w="3000" w:type="dxa"/>
          </w:tcPr>
          <w:p w14:paraId="67462E0D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4.7% of cohort</w:t>
            </w:r>
          </w:p>
        </w:tc>
        <w:tc>
          <w:tcPr>
            <w:tcW w:w="3700" w:type="dxa"/>
          </w:tcPr>
          <w:p w14:paraId="0A61A5B5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Laboratory network establishment phase</w:t>
            </w:r>
          </w:p>
        </w:tc>
      </w:tr>
      <w:tr w:rsidR="00920DB0" w:rsidRPr="00393EC0" w14:paraId="7B41D0BF" w14:textId="77777777" w:rsidTr="00E540B5">
        <w:tc>
          <w:tcPr>
            <w:tcW w:w="3600" w:type="dxa"/>
          </w:tcPr>
          <w:p w14:paraId="3A385EA8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2011–2015</w:t>
            </w:r>
          </w:p>
        </w:tc>
        <w:tc>
          <w:tcPr>
            <w:tcW w:w="1100" w:type="dxa"/>
          </w:tcPr>
          <w:p w14:paraId="1F943783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547</w:t>
            </w:r>
          </w:p>
        </w:tc>
        <w:tc>
          <w:tcPr>
            <w:tcW w:w="3000" w:type="dxa"/>
          </w:tcPr>
          <w:p w14:paraId="14226653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23.5% of cohort</w:t>
            </w:r>
          </w:p>
        </w:tc>
        <w:tc>
          <w:tcPr>
            <w:tcW w:w="3700" w:type="dxa"/>
          </w:tcPr>
          <w:p w14:paraId="06BC2771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Rapid case ascertainment growth</w:t>
            </w:r>
          </w:p>
        </w:tc>
      </w:tr>
      <w:tr w:rsidR="00920DB0" w:rsidRPr="00393EC0" w14:paraId="7171EC3D" w14:textId="77777777" w:rsidTr="00E540B5">
        <w:tc>
          <w:tcPr>
            <w:tcW w:w="3600" w:type="dxa"/>
          </w:tcPr>
          <w:p w14:paraId="26F22028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2016–2020</w:t>
            </w:r>
          </w:p>
        </w:tc>
        <w:tc>
          <w:tcPr>
            <w:tcW w:w="1100" w:type="dxa"/>
          </w:tcPr>
          <w:p w14:paraId="31C8603F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682</w:t>
            </w:r>
          </w:p>
        </w:tc>
        <w:tc>
          <w:tcPr>
            <w:tcW w:w="3000" w:type="dxa"/>
          </w:tcPr>
          <w:p w14:paraId="6F210FD3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29.4% of cohort</w:t>
            </w:r>
          </w:p>
        </w:tc>
        <w:tc>
          <w:tcPr>
            <w:tcW w:w="3700" w:type="dxa"/>
          </w:tcPr>
          <w:p w14:paraId="626901A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Mature network phase</w:t>
            </w:r>
          </w:p>
        </w:tc>
      </w:tr>
      <w:tr w:rsidR="00920DB0" w:rsidRPr="00393EC0" w14:paraId="66E13852" w14:textId="77777777" w:rsidTr="00E540B5">
        <w:tc>
          <w:tcPr>
            <w:tcW w:w="3600" w:type="dxa"/>
          </w:tcPr>
          <w:p w14:paraId="3A80C850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2021–2025</w:t>
            </w:r>
          </w:p>
        </w:tc>
        <w:tc>
          <w:tcPr>
            <w:tcW w:w="1100" w:type="dxa"/>
          </w:tcPr>
          <w:p w14:paraId="79916B1E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961</w:t>
            </w:r>
          </w:p>
        </w:tc>
        <w:tc>
          <w:tcPr>
            <w:tcW w:w="3000" w:type="dxa"/>
          </w:tcPr>
          <w:p w14:paraId="5AC757BB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41.4% of cohort</w:t>
            </w:r>
          </w:p>
        </w:tc>
        <w:tc>
          <w:tcPr>
            <w:tcW w:w="3700" w:type="dxa"/>
          </w:tcPr>
          <w:p w14:paraId="2C7D8843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Peak volume period</w:t>
            </w:r>
          </w:p>
        </w:tc>
      </w:tr>
      <w:tr w:rsidR="00920DB0" w:rsidRPr="00393EC0" w14:paraId="134A0163" w14:textId="77777777" w:rsidTr="00E540B5">
        <w:tc>
          <w:tcPr>
            <w:tcW w:w="3600" w:type="dxa"/>
          </w:tcPr>
          <w:p w14:paraId="693A94A7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Outside range / undated</w:t>
            </w:r>
          </w:p>
        </w:tc>
        <w:tc>
          <w:tcPr>
            <w:tcW w:w="1100" w:type="dxa"/>
          </w:tcPr>
          <w:p w14:paraId="0765B5F8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24</w:t>
            </w:r>
          </w:p>
        </w:tc>
        <w:tc>
          <w:tcPr>
            <w:tcW w:w="3000" w:type="dxa"/>
          </w:tcPr>
          <w:p w14:paraId="6402A2C3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1.0% of cohort</w:t>
            </w:r>
          </w:p>
        </w:tc>
        <w:tc>
          <w:tcPr>
            <w:tcW w:w="3700" w:type="dxa"/>
          </w:tcPr>
          <w:p w14:paraId="542B1178" w14:textId="77777777" w:rsidR="00920DB0" w:rsidRPr="00393EC0" w:rsidRDefault="00920DB0" w:rsidP="00E540B5">
            <w:pPr>
              <w:rPr>
                <w:rFonts w:ascii="Times New Roman" w:hAnsi="Times New Roman" w:cs="Times New Roman"/>
                <w:i/>
                <w:sz w:val="18"/>
              </w:rPr>
            </w:pPr>
            <w:r w:rsidRPr="00393EC0">
              <w:rPr>
                <w:rFonts w:ascii="Times New Roman" w:hAnsi="Times New Roman" w:cs="Times New Roman"/>
                <w:i/>
                <w:sz w:val="18"/>
              </w:rPr>
              <w:t>Excluded from period analysis</w:t>
            </w:r>
          </w:p>
        </w:tc>
      </w:tr>
    </w:tbl>
    <w:p w14:paraId="1923EFCF" w14:textId="77777777" w:rsidR="00920DB0" w:rsidRPr="00393EC0" w:rsidRDefault="00920DB0" w:rsidP="00920DB0">
      <w:pPr>
        <w:rPr>
          <w:sz w:val="2"/>
        </w:rPr>
      </w:pPr>
    </w:p>
    <w:p w14:paraId="12B39E8F" w14:textId="77777777" w:rsidR="00920DB0" w:rsidRDefault="00920DB0" w:rsidP="00920DB0">
      <w:pPr>
        <w:jc w:val="both"/>
      </w:pPr>
      <w:r w:rsidRPr="00393EC0">
        <w:rPr>
          <w:rFonts w:ascii="Times New Roman" w:hAnsi="Times New Roman" w:cs="Times New Roman"/>
          <w:i/>
          <w:sz w:val="18"/>
        </w:rPr>
        <w:t>Abbreviations: ER, estrogen receptor; PR, progesterone receptor; HER2, human epidermal growth factor receptor 2; HR, hormone receptor; IQR, interquartile range; SD, standard deviation; CI, confidence interval; TNBC, triple-negative breast cancer; yr, years. 95% CI for proportions: Wilson score interval. 95% CI for means: z-based (mean ± 1.96 × SE). Subtype classification requires complete ER, PR, and HER2 results; patients with missing data in any of the three markers are listed as unclassifiable. Ki-67 was ordered selectively and its positivity rate reflects clinical ordering practice rather than population prevalence.</w:t>
      </w:r>
    </w:p>
    <w:p w14:paraId="6D176755" w14:textId="77777777" w:rsidR="00B0756D" w:rsidRDefault="00B0756D"/>
    <w:sectPr w:rsidR="00B0756D" w:rsidSect="00920D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09A9" w14:textId="77777777" w:rsidR="00392AD5" w:rsidRDefault="00392AD5">
      <w:pPr>
        <w:spacing w:after="0" w:line="240" w:lineRule="auto"/>
      </w:pPr>
      <w:r>
        <w:separator/>
      </w:r>
    </w:p>
  </w:endnote>
  <w:endnote w:type="continuationSeparator" w:id="0">
    <w:p w14:paraId="13EF47E6" w14:textId="77777777" w:rsidR="00392AD5" w:rsidRDefault="00392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72CAA" w14:textId="77777777" w:rsidR="00920DB0" w:rsidRDefault="00920D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A81D" w14:textId="77777777" w:rsidR="00920DB0" w:rsidRDefault="00920D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726AA" w14:textId="77777777" w:rsidR="00920DB0" w:rsidRDefault="00920D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35D9B" w14:textId="77777777" w:rsidR="00392AD5" w:rsidRDefault="00392AD5">
      <w:pPr>
        <w:spacing w:after="0" w:line="240" w:lineRule="auto"/>
      </w:pPr>
      <w:r>
        <w:separator/>
      </w:r>
    </w:p>
  </w:footnote>
  <w:footnote w:type="continuationSeparator" w:id="0">
    <w:p w14:paraId="7EDB9BD9" w14:textId="77777777" w:rsidR="00392AD5" w:rsidRDefault="00392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69CEF" w14:textId="77777777" w:rsidR="00920DB0" w:rsidRDefault="00920D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1113" w14:textId="77777777" w:rsidR="00920DB0" w:rsidRDefault="00920D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83F32" w14:textId="77777777" w:rsidR="00920DB0" w:rsidRDefault="00920D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B0"/>
    <w:rsid w:val="0014203C"/>
    <w:rsid w:val="00392AD5"/>
    <w:rsid w:val="00920DB0"/>
    <w:rsid w:val="0095775A"/>
    <w:rsid w:val="00977A8B"/>
    <w:rsid w:val="00B0756D"/>
    <w:rsid w:val="00D4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9A239D"/>
  <w15:chartTrackingRefBased/>
  <w15:docId w15:val="{2B9C57FE-AD98-438E-B9CD-ABE6B879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DB0"/>
  </w:style>
  <w:style w:type="paragraph" w:styleId="Heading1">
    <w:name w:val="heading 1"/>
    <w:basedOn w:val="Normal"/>
    <w:next w:val="Normal"/>
    <w:link w:val="Heading1Char"/>
    <w:uiPriority w:val="9"/>
    <w:qFormat/>
    <w:rsid w:val="00920D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D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D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D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D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D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D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D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D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D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D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D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D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D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D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D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D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D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D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D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D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D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D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D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D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D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D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D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0D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B0"/>
  </w:style>
  <w:style w:type="paragraph" w:styleId="Footer">
    <w:name w:val="footer"/>
    <w:basedOn w:val="Normal"/>
    <w:link w:val="FooterChar"/>
    <w:uiPriority w:val="99"/>
    <w:unhideWhenUsed/>
    <w:rsid w:val="00920D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B0"/>
  </w:style>
  <w:style w:type="table" w:styleId="TableGrid">
    <w:name w:val="Table Grid"/>
    <w:basedOn w:val="TableNormal"/>
    <w:uiPriority w:val="39"/>
    <w:rsid w:val="0092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531</Words>
  <Characters>3108</Characters>
  <Application>Microsoft Office Word</Application>
  <DocSecurity>0</DocSecurity>
  <Lines>100</Lines>
  <Paragraphs>46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salhi</dc:creator>
  <cp:keywords/>
  <dc:description/>
  <cp:lastModifiedBy>ibrahim salhi</cp:lastModifiedBy>
  <cp:revision>2</cp:revision>
  <dcterms:created xsi:type="dcterms:W3CDTF">2026-05-16T14:01:00Z</dcterms:created>
  <dcterms:modified xsi:type="dcterms:W3CDTF">2026-05-16T14:03:00Z</dcterms:modified>
</cp:coreProperties>
</file>