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b/>
          <w:i/>
        </w:rPr>
      </w:pPr>
      <w:r>
        <w:rPr>
          <w:rFonts w:ascii="Times New Roman" w:hAnsi="Times New Roman" w:eastAsia="等线" w:cs="Times New Roman"/>
          <w:b/>
          <w:i/>
        </w:rPr>
        <w:t>Supplementary material for</w:t>
      </w:r>
    </w:p>
    <w:p>
      <w:pPr>
        <w:rPr>
          <w:rFonts w:ascii="Times New Roman" w:hAnsi="Times New Roman" w:eastAsia="等线" w:cs="Times New Roman"/>
          <w:b/>
          <w:i/>
        </w:rPr>
      </w:pPr>
    </w:p>
    <w:p>
      <w:pPr>
        <w:rPr>
          <w:rFonts w:ascii="Times New Roman" w:hAnsi="Times New Roman" w:eastAsia="等线" w:cs="Times New Roman"/>
          <w:b/>
          <w:i/>
        </w:rPr>
      </w:pPr>
    </w:p>
    <w:p>
      <w:pPr>
        <w:rPr>
          <w:rFonts w:ascii="Times New Roman" w:hAnsi="Times New Roman" w:eastAsia="等线" w:cs="Times New Roman"/>
          <w:b/>
          <w:i/>
        </w:rPr>
      </w:pPr>
    </w:p>
    <w:p>
      <w:pPr>
        <w:spacing w:line="480" w:lineRule="auto"/>
        <w:ind w:firstLine="241" w:firstLineChars="100"/>
        <w:jc w:val="center"/>
        <w:rPr>
          <w:rFonts w:ascii="Times New Roman" w:hAnsi="Times New Roman" w:cs="Times New Roman"/>
          <w:b/>
          <w:sz w:val="24"/>
        </w:rPr>
      </w:pPr>
      <w:bookmarkStart w:id="0" w:name="OLE_LINK5"/>
      <w:r>
        <w:rPr>
          <w:rFonts w:ascii="Times New Roman" w:hAnsi="Times New Roman" w:eastAsia="宋体" w:cs="Times New Roman"/>
          <w:b/>
          <w:sz w:val="24"/>
          <w:lang w:bidi="ar"/>
        </w:rPr>
        <w:t>Characteristics and chemical reactivity of biogenic volatile organic compounds from dominant forest species in the Jing-Jin-Ji area</w:t>
      </w:r>
      <w:bookmarkEnd w:id="0"/>
      <w:r>
        <w:rPr>
          <w:rFonts w:ascii="Times New Roman" w:hAnsi="Times New Roman" w:eastAsia="宋体" w:cs="Times New Roman"/>
          <w:b/>
          <w:sz w:val="24"/>
          <w:lang w:bidi="ar"/>
        </w:rPr>
        <w:t>, China</w:t>
      </w:r>
    </w:p>
    <w:p>
      <w:pPr>
        <w:pStyle w:val="13"/>
        <w:spacing w:line="480" w:lineRule="auto"/>
        <w:jc w:val="center"/>
        <w:rPr>
          <w:kern w:val="28"/>
          <w:sz w:val="24"/>
          <w:lang w:val="en-US"/>
        </w:rPr>
      </w:pPr>
      <w:r>
        <w:rPr>
          <w:sz w:val="24"/>
          <w:lang w:val="en-US" w:eastAsia="zh-CN"/>
        </w:rPr>
        <w:t>Ying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sz w:val="24"/>
          <w:lang w:val="en-US" w:eastAsia="zh-CN"/>
        </w:rPr>
        <w:t>Lin</w:t>
      </w:r>
      <w:r>
        <w:rPr>
          <w:rFonts w:eastAsia="Times New Roman"/>
          <w:sz w:val="24"/>
          <w:vertAlign w:val="superscript"/>
          <w:lang w:val="en-US"/>
        </w:rPr>
        <w:t>1</w:t>
      </w:r>
      <w:r>
        <w:rPr>
          <w:kern w:val="28"/>
          <w:sz w:val="24"/>
          <w:lang w:val="en-US"/>
        </w:rPr>
        <w:t xml:space="preserve">, </w:t>
      </w:r>
      <w:r>
        <w:rPr>
          <w:sz w:val="24"/>
          <w:lang w:val="en-US"/>
        </w:rPr>
        <w:t>Xiaoxiu</w:t>
      </w:r>
      <w:r>
        <w:rPr>
          <w:rFonts w:hint="eastAsia"/>
          <w:sz w:val="24"/>
          <w:lang w:val="en-US" w:eastAsia="zh-CN"/>
        </w:rPr>
        <w:t xml:space="preserve"> Lun</w:t>
      </w:r>
      <w:r>
        <w:rPr>
          <w:rFonts w:eastAsia="Times New Roman"/>
          <w:sz w:val="24"/>
          <w:vertAlign w:val="superscript"/>
          <w:lang w:val="en-US"/>
        </w:rPr>
        <w:t xml:space="preserve"> 1</w:t>
      </w:r>
      <w:r>
        <w:rPr>
          <w:kern w:val="28"/>
          <w:sz w:val="24"/>
          <w:lang w:val="en-US"/>
        </w:rPr>
        <w:t>*,</w:t>
      </w:r>
      <w:r>
        <w:rPr>
          <w:rFonts w:hint="eastAsia"/>
          <w:kern w:val="28"/>
          <w:sz w:val="24"/>
          <w:lang w:val="en-US" w:eastAsia="zh-CN"/>
        </w:rPr>
        <w:t xml:space="preserve"> Wei Tang</w:t>
      </w:r>
      <w:r>
        <w:rPr>
          <w:rFonts w:hint="eastAsia"/>
          <w:kern w:val="28"/>
          <w:sz w:val="24"/>
          <w:vertAlign w:val="superscript"/>
          <w:lang w:val="en-US" w:eastAsia="zh-CN"/>
        </w:rPr>
        <w:t>2</w:t>
      </w:r>
      <w:r>
        <w:rPr>
          <w:rFonts w:hint="eastAsia"/>
          <w:kern w:val="28"/>
          <w:sz w:val="24"/>
          <w:lang w:val="en-US" w:eastAsia="zh-CN"/>
        </w:rPr>
        <w:t>,</w:t>
      </w:r>
      <w:r>
        <w:rPr>
          <w:rFonts w:eastAsia="Times New Roman"/>
          <w:kern w:val="28"/>
          <w:sz w:val="24"/>
          <w:lang w:val="en-US"/>
        </w:rPr>
        <w:t xml:space="preserve"> </w:t>
      </w:r>
      <w:r>
        <w:rPr>
          <w:rFonts w:hint="eastAsia" w:eastAsiaTheme="minorEastAsia"/>
          <w:kern w:val="28"/>
          <w:sz w:val="24"/>
          <w:lang w:val="en-US" w:eastAsia="zh-CN"/>
        </w:rPr>
        <w:t>Zhongzhi Zhang</w:t>
      </w:r>
      <w:r>
        <w:rPr>
          <w:rFonts w:eastAsiaTheme="minorEastAsia"/>
          <w:kern w:val="28"/>
          <w:sz w:val="24"/>
          <w:vertAlign w:val="superscript"/>
          <w:lang w:val="en-US" w:eastAsia="zh-CN"/>
        </w:rPr>
        <w:t>2</w:t>
      </w:r>
      <w:r>
        <w:rPr>
          <w:rFonts w:hint="eastAsia" w:eastAsiaTheme="minorEastAsia"/>
          <w:kern w:val="28"/>
          <w:sz w:val="24"/>
          <w:lang w:val="en-US" w:eastAsia="zh-CN"/>
        </w:rPr>
        <w:t xml:space="preserve">, </w:t>
      </w:r>
      <w:r>
        <w:rPr>
          <w:rFonts w:eastAsiaTheme="minorEastAsia"/>
          <w:kern w:val="28"/>
          <w:sz w:val="24"/>
          <w:lang w:val="en-US" w:eastAsia="zh-CN"/>
        </w:rPr>
        <w:t>Xiaoxi</w:t>
      </w:r>
      <w:r>
        <w:rPr>
          <w:rFonts w:hint="eastAsia" w:eastAsiaTheme="minorEastAsia"/>
          <w:kern w:val="28"/>
          <w:sz w:val="24"/>
          <w:lang w:val="en-US" w:eastAsia="zh-CN"/>
        </w:rPr>
        <w:t xml:space="preserve"> Jing</w:t>
      </w:r>
      <w:r>
        <w:rPr>
          <w:rFonts w:eastAsia="Times New Roman"/>
          <w:sz w:val="24"/>
          <w:vertAlign w:val="superscript"/>
          <w:lang w:val="en-US"/>
        </w:rPr>
        <w:t>1</w:t>
      </w:r>
      <w:r>
        <w:rPr>
          <w:kern w:val="28"/>
          <w:sz w:val="24"/>
          <w:lang w:val="en-US"/>
        </w:rPr>
        <w:t>,</w:t>
      </w:r>
      <w:r>
        <w:rPr>
          <w:kern w:val="28"/>
          <w:sz w:val="24"/>
          <w:lang w:val="en-US" w:eastAsia="zh-CN"/>
        </w:rPr>
        <w:t xml:space="preserve"> Chong</w:t>
      </w:r>
      <w:r>
        <w:rPr>
          <w:rFonts w:hint="eastAsia"/>
          <w:kern w:val="28"/>
          <w:sz w:val="24"/>
          <w:lang w:val="en-US" w:eastAsia="zh-CN"/>
        </w:rPr>
        <w:t xml:space="preserve"> Fan</w:t>
      </w:r>
      <w:r>
        <w:rPr>
          <w:rFonts w:eastAsia="Times New Roman"/>
          <w:sz w:val="24"/>
          <w:vertAlign w:val="superscript"/>
          <w:lang w:val="en-US"/>
        </w:rPr>
        <w:t>1</w:t>
      </w:r>
    </w:p>
    <w:p>
      <w:pPr>
        <w:spacing w:line="480" w:lineRule="auto"/>
        <w:jc w:val="left"/>
        <w:rPr>
          <w:rFonts w:ascii="Times New Roman" w:hAnsi="Times New Roman" w:cs="Times New Roman"/>
          <w:kern w:val="28"/>
          <w:sz w:val="24"/>
        </w:rPr>
      </w:pPr>
      <w:r>
        <w:rPr>
          <w:rFonts w:ascii="Times New Roman" w:hAnsi="Times New Roman" w:cs="Times New Roman"/>
          <w:kern w:val="28"/>
          <w:sz w:val="24"/>
          <w:vertAlign w:val="superscript"/>
        </w:rPr>
        <w:t>1</w:t>
      </w:r>
      <w:r>
        <w:rPr>
          <w:rFonts w:ascii="Times New Roman" w:hAnsi="Times New Roman" w:cs="Times New Roman"/>
          <w:kern w:val="28"/>
          <w:sz w:val="24"/>
        </w:rPr>
        <w:t>College of Environmental Science and Engineering, Beijing Forestry University, 35 Tsinghua East Road, Beijing 100083, China;</w:t>
      </w:r>
    </w:p>
    <w:p>
      <w:pPr>
        <w:spacing w:line="480" w:lineRule="auto"/>
        <w:jc w:val="left"/>
        <w:rPr>
          <w:rFonts w:ascii="Times New Roman" w:hAnsi="Times New Roman"/>
          <w:sz w:val="24"/>
          <w:shd w:val="clear" w:color="auto" w:fill="FFFFFF"/>
          <w:lang w:bidi="ar"/>
        </w:rPr>
      </w:pPr>
      <w:r>
        <w:rPr>
          <w:rFonts w:hint="eastAsia" w:ascii="Times New Roman" w:hAnsi="Times New Roman" w:cs="Times New Roman"/>
          <w:kern w:val="28"/>
          <w:sz w:val="24"/>
          <w:vertAlign w:val="superscript"/>
        </w:rPr>
        <w:t>2</w:t>
      </w:r>
      <w:bookmarkStart w:id="1" w:name="OLE_LINK25"/>
      <w:r>
        <w:rPr>
          <w:rFonts w:ascii="Times New Roman" w:hAnsi="Times New Roman"/>
          <w:sz w:val="24"/>
        </w:rPr>
        <w:t xml:space="preserve">Institute </w:t>
      </w:r>
      <w:r>
        <w:rPr>
          <w:rFonts w:hint="eastAsia" w:ascii="Times New Roman" w:hAnsi="Times New Roman"/>
          <w:sz w:val="24"/>
        </w:rPr>
        <w:t>o</w:t>
      </w:r>
      <w:r>
        <w:rPr>
          <w:rFonts w:ascii="Times New Roman" w:hAnsi="Times New Roman"/>
          <w:sz w:val="24"/>
        </w:rPr>
        <w:t xml:space="preserve">f Atmospheric Environment, </w:t>
      </w:r>
      <w:r>
        <w:rPr>
          <w:rFonts w:ascii="Times New Roman" w:hAnsi="Times New Roman"/>
          <w:sz w:val="24"/>
          <w:shd w:val="clear" w:color="auto" w:fill="FFFFFF"/>
          <w:lang w:bidi="ar"/>
        </w:rPr>
        <w:t>Chinese Research Academy of Environmental Sciences</w:t>
      </w:r>
      <w:bookmarkEnd w:id="1"/>
      <w:r>
        <w:rPr>
          <w:rFonts w:ascii="Times New Roman" w:hAnsi="Times New Roman"/>
          <w:sz w:val="24"/>
          <w:shd w:val="clear" w:color="auto" w:fill="FFFFFF"/>
          <w:lang w:bidi="ar"/>
        </w:rPr>
        <w:t>, Beijing 100012, China</w:t>
      </w:r>
    </w:p>
    <w:p>
      <w:pPr>
        <w:spacing w:line="480" w:lineRule="auto"/>
        <w:jc w:val="left"/>
        <w:rPr>
          <w:rFonts w:ascii="Times New Roman" w:hAnsi="Times New Roman"/>
          <w:sz w:val="24"/>
          <w:shd w:val="clear" w:color="auto" w:fill="FFFFFF"/>
          <w:lang w:bidi="ar"/>
        </w:rPr>
      </w:pPr>
    </w:p>
    <w:p>
      <w:pPr>
        <w:spacing w:line="480" w:lineRule="auto"/>
        <w:jc w:val="left"/>
        <w:rPr>
          <w:rFonts w:ascii="Times New Roman" w:hAnsi="Times New Roman"/>
          <w:sz w:val="24"/>
          <w:shd w:val="clear" w:color="auto" w:fill="FFFFFF"/>
          <w:lang w:bidi="ar"/>
        </w:rPr>
      </w:pPr>
      <w:r>
        <w:rPr>
          <w:rFonts w:hint="eastAsia" w:ascii="Times New Roman" w:hAnsi="Times New Roman"/>
          <w:sz w:val="24"/>
          <w:shd w:val="clear" w:color="auto" w:fill="FFFFFF"/>
          <w:lang w:bidi="ar"/>
        </w:rPr>
        <w:t>*Corresponding author</w:t>
      </w:r>
    </w:p>
    <w:p>
      <w:pPr>
        <w:spacing w:line="480" w:lineRule="auto"/>
        <w:jc w:val="left"/>
        <w:rPr>
          <w:rFonts w:ascii="Times New Roman" w:hAnsi="Times New Roman"/>
          <w:sz w:val="24"/>
          <w:shd w:val="clear" w:color="auto" w:fill="FFFFFF"/>
          <w:lang w:bidi="ar"/>
        </w:rPr>
      </w:pPr>
      <w:r>
        <w:rPr>
          <w:rFonts w:hint="eastAsia" w:ascii="Times New Roman" w:hAnsi="Times New Roman"/>
          <w:sz w:val="24"/>
          <w:shd w:val="clear" w:color="auto" w:fill="FFFFFF"/>
          <w:lang w:bidi="ar"/>
        </w:rPr>
        <w:t>Xiaoxiu Lun, #60, Beijing Forestry University, #35 Tsinghua East Road, Beijing 100083, China. (E-mail: lunxiaoxiu@bjfu.edu.cn)</w:t>
      </w:r>
    </w:p>
    <w:p>
      <w:pPr>
        <w:rPr>
          <w:rFonts w:ascii="Times New Roman" w:hAnsi="Times New Roman" w:eastAsia="等线" w:cs="Times New Roman"/>
          <w:b/>
          <w:i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>
      <w:pPr>
        <w:spacing w:line="480" w:lineRule="auto"/>
        <w:rPr>
          <w:rFonts w:ascii="Times New Roman" w:hAnsi="Times New Roman" w:eastAsia="等线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eastAsia="等线" w:cs="Times New Roman"/>
          <w:b/>
          <w:bCs/>
          <w:color w:val="000000"/>
          <w:sz w:val="28"/>
          <w:szCs w:val="28"/>
        </w:rPr>
        <w:t>Appendix A:</w:t>
      </w:r>
    </w:p>
    <w:p>
      <w:pPr>
        <w:widowControl/>
        <w:tabs>
          <w:tab w:val="left" w:pos="440"/>
          <w:tab w:val="left" w:pos="87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rPr>
          <w:rFonts w:ascii="Times New Roman" w:hAnsi="Times New Roman" w:eastAsia="等线" w:cs="Times New Roman"/>
          <w:b/>
          <w:i/>
          <w:sz w:val="28"/>
          <w:szCs w:val="28"/>
        </w:rPr>
      </w:pPr>
      <w:r>
        <w:rPr>
          <w:rFonts w:hint="eastAsia" w:ascii="Times New Roman" w:hAnsi="Times New Roman" w:eastAsia="等线" w:cs="Times New Roman"/>
          <w:b/>
          <w:i/>
          <w:sz w:val="28"/>
          <w:szCs w:val="28"/>
        </w:rPr>
        <w:t xml:space="preserve">Supplementary </w:t>
      </w:r>
      <w:r>
        <w:rPr>
          <w:rFonts w:ascii="Times New Roman" w:hAnsi="Times New Roman" w:eastAsia="等线" w:cs="Times New Roman"/>
          <w:b/>
          <w:i/>
          <w:sz w:val="28"/>
          <w:szCs w:val="28"/>
        </w:rPr>
        <w:t>Table</w:t>
      </w:r>
    </w:p>
    <w:p>
      <w:pPr>
        <w:spacing w:line="480" w:lineRule="auto"/>
        <w:rPr>
          <w:rFonts w:ascii="Times New Roman" w:hAnsi="Times New Roman" w:eastAsia="等线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A.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parameters of dominant </w:t>
      </w:r>
      <w:r>
        <w:rPr>
          <w:rFonts w:hint="eastAsia" w:ascii="Times New Roman" w:hAnsi="Times New Roman" w:cs="Times New Roman"/>
          <w:sz w:val="24"/>
        </w:rPr>
        <w:t>forest species in the Jing-Jin-Ji area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A.2.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Estimation of BVOCs </w:t>
      </w:r>
      <w:r>
        <w:rPr>
          <w:rFonts w:hint="eastAsia" w:ascii="Times New Roman" w:hAnsi="Times New Roman" w:cs="Times New Roman"/>
          <w:sz w:val="24"/>
        </w:rPr>
        <w:t xml:space="preserve">annual </w:t>
      </w:r>
      <w:r>
        <w:rPr>
          <w:rFonts w:ascii="Times New Roman" w:hAnsi="Times New Roman" w:cs="Times New Roman"/>
          <w:sz w:val="24"/>
        </w:rPr>
        <w:t>emissions in the Jing-Jin-Ji area (t C·a</w:t>
      </w:r>
      <w:r>
        <w:rPr>
          <w:rFonts w:ascii="Times New Roman" w:hAnsi="Times New Roman" w:cs="Times New Roman"/>
          <w:sz w:val="24"/>
          <w:vertAlign w:val="superscript"/>
        </w:rPr>
        <w:t>-1</w:t>
      </w:r>
      <w:r>
        <w:rPr>
          <w:rFonts w:ascii="Times New Roman" w:hAnsi="Times New Roman" w:cs="Times New Roman"/>
          <w:sz w:val="24"/>
        </w:rPr>
        <w:t>)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A.3.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hint="eastAsia" w:ascii="Times New Roman" w:hAnsi="Times New Roman" w:cs="Times New Roman"/>
          <w:sz w:val="24"/>
        </w:rPr>
        <w:t xml:space="preserve">BVOCs </w:t>
      </w:r>
      <w:r>
        <w:rPr>
          <w:rFonts w:ascii="Times New Roman" w:hAnsi="Times New Roman" w:cs="Times New Roman"/>
          <w:sz w:val="24"/>
        </w:rPr>
        <w:t xml:space="preserve">emissions </w:t>
      </w:r>
      <w:r>
        <w:rPr>
          <w:rFonts w:hint="eastAsia" w:ascii="Times New Roman" w:hAnsi="Times New Roman" w:cs="Times New Roman"/>
          <w:sz w:val="24"/>
        </w:rPr>
        <w:t xml:space="preserve">of 13 </w:t>
      </w:r>
      <w:r>
        <w:rPr>
          <w:rFonts w:ascii="Times New Roman" w:hAnsi="Times New Roman" w:cs="Times New Roman"/>
          <w:sz w:val="24"/>
        </w:rPr>
        <w:t>cities in the Jing-Jin-Ji area(t C·a</w:t>
      </w:r>
      <w:r>
        <w:rPr>
          <w:rFonts w:ascii="Times New Roman" w:hAnsi="Times New Roman" w:cs="Times New Roman"/>
          <w:sz w:val="24"/>
          <w:vertAlign w:val="superscript"/>
        </w:rPr>
        <w:t>-1</w:t>
      </w:r>
      <w:r>
        <w:rPr>
          <w:rFonts w:ascii="Times New Roman" w:hAnsi="Times New Roman" w:cs="Times New Roman"/>
          <w:sz w:val="24"/>
        </w:rPr>
        <w:t>)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A.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parameters of dominant </w:t>
      </w:r>
      <w:r>
        <w:rPr>
          <w:rFonts w:hint="eastAsia" w:ascii="Times New Roman" w:hAnsi="Times New Roman" w:cs="Times New Roman"/>
          <w:sz w:val="24"/>
        </w:rPr>
        <w:t>forest species in the Jing-Jin-Ji area</w:t>
      </w:r>
    </w:p>
    <w:tbl>
      <w:tblPr>
        <w:tblStyle w:val="4"/>
        <w:tblW w:w="791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50"/>
        <w:gridCol w:w="1746"/>
        <w:gridCol w:w="1777"/>
        <w:gridCol w:w="17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Forest species</w:t>
            </w:r>
          </w:p>
        </w:tc>
        <w:tc>
          <w:tcPr>
            <w:tcW w:w="174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D</w:t>
            </w:r>
            <w:r>
              <w:rPr>
                <w:rStyle w:val="8"/>
                <w:rFonts w:eastAsia="宋体"/>
                <w:lang w:bidi="ar"/>
              </w:rPr>
              <w:t>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10</w:t>
            </w:r>
            <w:r>
              <w:rPr>
                <w:rStyle w:val="9"/>
                <w:rFonts w:eastAsia="宋体"/>
                <w:lang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g/m</w:t>
            </w:r>
            <w:r>
              <w:rPr>
                <w:rStyle w:val="9"/>
                <w:rFonts w:eastAsia="宋体"/>
                <w:lang w:bidi="ar"/>
              </w:rPr>
              <w:t>3</w:t>
            </w:r>
          </w:p>
        </w:tc>
        <w:tc>
          <w:tcPr>
            <w:tcW w:w="17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Style w:val="10"/>
                <w:rFonts w:eastAsia="宋体"/>
                <w:lang w:bidi="ar"/>
              </w:rPr>
              <w:t xml:space="preserve">L </w:t>
            </w:r>
            <w:r>
              <w:rPr>
                <w:rStyle w:val="10"/>
                <w:rFonts w:eastAsia="宋体"/>
                <w:vertAlign w:val="baseline"/>
                <w:lang w:bidi="ar"/>
              </w:rPr>
              <w:t>%</w:t>
            </w:r>
          </w:p>
        </w:tc>
        <w:tc>
          <w:tcPr>
            <w:tcW w:w="174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Style w:val="10"/>
                <w:rFonts w:eastAsia="宋体"/>
                <w:lang w:bidi="ar"/>
              </w:rPr>
              <w:t xml:space="preserve">T </w:t>
            </w:r>
            <w:r>
              <w:rPr>
                <w:rStyle w:val="10"/>
                <w:rFonts w:eastAsia="宋体"/>
                <w:vertAlign w:val="baseline"/>
                <w:lang w:bidi="ar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2650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Platycladus orientalis</w:t>
            </w:r>
          </w:p>
        </w:tc>
        <w:tc>
          <w:tcPr>
            <w:tcW w:w="1746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0.46</w:t>
            </w:r>
          </w:p>
        </w:tc>
        <w:tc>
          <w:tcPr>
            <w:tcW w:w="1777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8.83</w:t>
            </w:r>
          </w:p>
        </w:tc>
        <w:tc>
          <w:tcPr>
            <w:tcW w:w="1742" w:type="dxa"/>
            <w:tcBorders>
              <w:top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63.13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Quercus</w:t>
            </w:r>
            <w:r>
              <w:rPr>
                <w:rStyle w:val="11"/>
                <w:rFonts w:eastAsia="宋体"/>
                <w:lang w:bidi="ar"/>
              </w:rPr>
              <w:t xml:space="preserve"> </w:t>
            </w:r>
            <w:r>
              <w:rPr>
                <w:rStyle w:val="12"/>
                <w:rFonts w:eastAsia="宋体"/>
                <w:lang w:bidi="ar"/>
              </w:rPr>
              <w:t>variabilis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0.68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3.01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Betula</w:t>
            </w:r>
            <w:r>
              <w:rPr>
                <w:rStyle w:val="11"/>
                <w:rFonts w:eastAsia="宋体"/>
                <w:lang w:bidi="ar"/>
              </w:rPr>
              <w:t xml:space="preserve"> </w:t>
            </w:r>
            <w:r>
              <w:rPr>
                <w:rStyle w:val="12"/>
                <w:rFonts w:eastAsia="宋体"/>
                <w:lang w:bidi="ar"/>
              </w:rPr>
              <w:t>platyphylla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0.49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4.01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56.11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Populus</w:t>
            </w:r>
            <w:r>
              <w:rPr>
                <w:rStyle w:val="11"/>
                <w:rFonts w:eastAsia="宋体"/>
                <w:lang w:bidi="ar"/>
              </w:rPr>
              <w:t xml:space="preserve"> </w:t>
            </w:r>
            <w:r>
              <w:rPr>
                <w:rStyle w:val="12"/>
                <w:rFonts w:eastAsia="宋体"/>
                <w:lang w:bidi="ar"/>
              </w:rPr>
              <w:t>tomentosa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0.38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60.94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Pinus tabuliformis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0.36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9.48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55.99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Robinia pseudoacacia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0.72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60.94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Ulmus pumila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0.61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4.54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57.85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Salix babylonica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0.49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5.55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53.57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2650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4"/>
                <w:lang w:bidi="ar"/>
              </w:rPr>
              <w:t>Larix gmelinii</w:t>
            </w:r>
          </w:p>
        </w:tc>
        <w:tc>
          <w:tcPr>
            <w:tcW w:w="1746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0.53</w:t>
            </w:r>
          </w:p>
        </w:tc>
        <w:tc>
          <w:tcPr>
            <w:tcW w:w="1777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3.47</w:t>
            </w:r>
          </w:p>
        </w:tc>
        <w:tc>
          <w:tcPr>
            <w:tcW w:w="1742" w:type="dxa"/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63.11</w:t>
            </w:r>
          </w:p>
        </w:tc>
      </w:tr>
    </w:tbl>
    <w:p/>
    <w:p/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A.2.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Estimation of BVOCs </w:t>
      </w:r>
      <w:r>
        <w:rPr>
          <w:rFonts w:hint="eastAsia" w:ascii="Times New Roman" w:hAnsi="Times New Roman" w:cs="Times New Roman"/>
          <w:sz w:val="24"/>
        </w:rPr>
        <w:t xml:space="preserve">annual </w:t>
      </w:r>
      <w:r>
        <w:rPr>
          <w:rFonts w:ascii="Times New Roman" w:hAnsi="Times New Roman" w:cs="Times New Roman"/>
          <w:sz w:val="24"/>
        </w:rPr>
        <w:t>emissions in the Jing-Jin-Ji area (t C·a</w:t>
      </w:r>
      <w:r>
        <w:rPr>
          <w:rFonts w:ascii="Times New Roman" w:hAnsi="Times New Roman" w:cs="Times New Roman"/>
          <w:sz w:val="24"/>
          <w:vertAlign w:val="superscript"/>
        </w:rPr>
        <w:t>-1</w:t>
      </w:r>
      <w:r>
        <w:rPr>
          <w:rFonts w:ascii="Times New Roman" w:hAnsi="Times New Roman" w:cs="Times New Roman"/>
          <w:sz w:val="24"/>
        </w:rPr>
        <w:t>)</w:t>
      </w:r>
    </w:p>
    <w:p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4"/>
        <w:tblW w:w="8913" w:type="dxa"/>
        <w:tblInd w:w="-13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92"/>
        <w:gridCol w:w="891"/>
        <w:gridCol w:w="862"/>
        <w:gridCol w:w="990"/>
        <w:gridCol w:w="851"/>
        <w:gridCol w:w="901"/>
        <w:gridCol w:w="842"/>
        <w:gridCol w:w="822"/>
        <w:gridCol w:w="99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Month</w:t>
            </w:r>
          </w:p>
        </w:tc>
        <w:tc>
          <w:tcPr>
            <w:tcW w:w="7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Isoprene</w:t>
            </w:r>
          </w:p>
        </w:tc>
        <w:tc>
          <w:tcPr>
            <w:tcW w:w="8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α-pinene</w:t>
            </w:r>
          </w:p>
        </w:tc>
        <w:tc>
          <w:tcPr>
            <w:tcW w:w="8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β-pinene</w:t>
            </w:r>
          </w:p>
        </w:tc>
        <w:tc>
          <w:tcPr>
            <w:tcW w:w="99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β-myrcene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limonene</w:t>
            </w:r>
          </w:p>
        </w:tc>
        <w:tc>
          <w:tcPr>
            <w:tcW w:w="90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3-carene</w:t>
            </w:r>
          </w:p>
        </w:tc>
        <w:tc>
          <w:tcPr>
            <w:tcW w:w="84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US" w:eastAsia="zh-CN" w:bidi="ar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OVOCs</w:t>
            </w:r>
          </w:p>
        </w:tc>
        <w:tc>
          <w:tcPr>
            <w:tcW w:w="82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TVOCs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Proportion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March</w:t>
            </w:r>
          </w:p>
        </w:tc>
        <w:tc>
          <w:tcPr>
            <w:tcW w:w="79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127.4</w:t>
            </w:r>
          </w:p>
        </w:tc>
        <w:tc>
          <w:tcPr>
            <w:tcW w:w="891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340.1</w:t>
            </w:r>
          </w:p>
        </w:tc>
        <w:tc>
          <w:tcPr>
            <w:tcW w:w="86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15.8</w:t>
            </w:r>
          </w:p>
        </w:tc>
        <w:tc>
          <w:tcPr>
            <w:tcW w:w="990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162.0</w:t>
            </w:r>
          </w:p>
        </w:tc>
        <w:tc>
          <w:tcPr>
            <w:tcW w:w="851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82.9</w:t>
            </w:r>
          </w:p>
        </w:tc>
        <w:tc>
          <w:tcPr>
            <w:tcW w:w="901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132.5</w:t>
            </w:r>
          </w:p>
        </w:tc>
        <w:tc>
          <w:tcPr>
            <w:tcW w:w="84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314.7</w:t>
            </w:r>
          </w:p>
        </w:tc>
        <w:tc>
          <w:tcPr>
            <w:tcW w:w="822" w:type="dxa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1175.3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17.8%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April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900.6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769.6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38.4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370.5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191.9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293.8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859.1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3423.9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May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3001.0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1450.8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77.2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695.2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365.0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549.2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1876.9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8015.4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June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6782.7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2019.7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117.6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968.8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518.9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749.8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3158.8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14316.2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61.9%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July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7379.4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2252.7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130.6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1054.3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567.3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851.6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3525.4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15761.3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August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6160.5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2048.1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118.7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948.7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511.5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780.1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3181.5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13749.1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September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3253.2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1406.7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79.7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657.4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351.8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535.4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2053.1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8337.2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18.5%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October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930.7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774.9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41.5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362.2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191.2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298.5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989.0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3588.0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November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151.6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313.5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15.7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147.4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76.7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121.8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347.8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1174.5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December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9.8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164.6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6.7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78.9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39.4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65.2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109.8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474.4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January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1.9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126.3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5.1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60.8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30.3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49.9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82.2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356.5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February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3.6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162.2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77.7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38.8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64.3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105.5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458.5</w:t>
            </w:r>
          </w:p>
        </w:tc>
        <w:tc>
          <w:tcPr>
            <w:tcW w:w="992" w:type="dxa"/>
            <w:vMerge w:val="continue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7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Annual</w:t>
            </w:r>
          </w:p>
        </w:tc>
        <w:tc>
          <w:tcPr>
            <w:tcW w:w="7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28702.3</w:t>
            </w:r>
          </w:p>
        </w:tc>
        <w:tc>
          <w:tcPr>
            <w:tcW w:w="89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11829.1</w:t>
            </w:r>
          </w:p>
        </w:tc>
        <w:tc>
          <w:tcPr>
            <w:tcW w:w="86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653.5</w:t>
            </w:r>
          </w:p>
        </w:tc>
        <w:tc>
          <w:tcPr>
            <w:tcW w:w="990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5583.9</w:t>
            </w:r>
          </w:p>
        </w:tc>
        <w:tc>
          <w:tcPr>
            <w:tcW w:w="85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2965.5</w:t>
            </w:r>
          </w:p>
        </w:tc>
        <w:tc>
          <w:tcPr>
            <w:tcW w:w="901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4492.2</w:t>
            </w:r>
          </w:p>
        </w:tc>
        <w:tc>
          <w:tcPr>
            <w:tcW w:w="84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16603.7</w:t>
            </w:r>
          </w:p>
        </w:tc>
        <w:tc>
          <w:tcPr>
            <w:tcW w:w="82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70830.2</w:t>
            </w:r>
          </w:p>
        </w:tc>
        <w:tc>
          <w:tcPr>
            <w:tcW w:w="992" w:type="dxa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</w:rPr>
        <w:t xml:space="preserve">OVOCs: other VOCs;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</w:rPr>
        <w:t>TVOCs: total VOCs.</w:t>
      </w: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A.3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hint="eastAsia" w:ascii="Times New Roman" w:hAnsi="Times New Roman" w:cs="Times New Roman"/>
          <w:sz w:val="24"/>
        </w:rPr>
        <w:t xml:space="preserve">BVOCs </w:t>
      </w:r>
      <w:r>
        <w:rPr>
          <w:rFonts w:ascii="Times New Roman" w:hAnsi="Times New Roman" w:cs="Times New Roman"/>
          <w:sz w:val="24"/>
        </w:rPr>
        <w:t xml:space="preserve">emissions </w:t>
      </w:r>
      <w:r>
        <w:rPr>
          <w:rFonts w:hint="eastAsia" w:ascii="Times New Roman" w:hAnsi="Times New Roman" w:cs="Times New Roman"/>
          <w:sz w:val="24"/>
        </w:rPr>
        <w:t xml:space="preserve">of 13 </w:t>
      </w:r>
      <w:r>
        <w:rPr>
          <w:rFonts w:ascii="Times New Roman" w:hAnsi="Times New Roman" w:cs="Times New Roman"/>
          <w:sz w:val="24"/>
        </w:rPr>
        <w:t>cities in the Jing-Jin-Ji area(t C·a</w:t>
      </w:r>
      <w:r>
        <w:rPr>
          <w:rFonts w:ascii="Times New Roman" w:hAnsi="Times New Roman" w:cs="Times New Roman"/>
          <w:sz w:val="24"/>
          <w:vertAlign w:val="superscript"/>
        </w:rPr>
        <w:t>-1</w:t>
      </w:r>
      <w:r>
        <w:rPr>
          <w:rFonts w:ascii="Times New Roman" w:hAnsi="Times New Roman" w:cs="Times New Roman"/>
          <w:sz w:val="24"/>
        </w:rPr>
        <w:t>)</w:t>
      </w:r>
    </w:p>
    <w:tbl>
      <w:tblPr>
        <w:tblStyle w:val="4"/>
        <w:tblW w:w="8878" w:type="dxa"/>
        <w:tblInd w:w="-85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830"/>
        <w:gridCol w:w="862"/>
        <w:gridCol w:w="836"/>
        <w:gridCol w:w="920"/>
        <w:gridCol w:w="887"/>
        <w:gridCol w:w="783"/>
        <w:gridCol w:w="862"/>
        <w:gridCol w:w="792"/>
        <w:gridCol w:w="946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Urban district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Isoprene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α-pinene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β-pinene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β-myrcene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Limonene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3-carene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US" w:eastAsia="zh-CN" w:bidi="ar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OVOCs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val="en-US" w:eastAsia="zh-CN"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TVOCs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Proportion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bookmarkStart w:id="2" w:name="OLE_LINK44" w:colFirst="8" w:colLast="8"/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Beijing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4259.1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4101.7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236.0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2667.9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1295.0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1112.2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3939.1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17610.9</w:t>
            </w:r>
          </w:p>
        </w:tc>
        <w:tc>
          <w:tcPr>
            <w:tcW w:w="94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24.9%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Tianjin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3156.5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296.8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283.5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153.2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376.9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4296.5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6.1%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Baoding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2542.0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778.6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867.1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419.8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31.2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1242.0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5911.2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8.4%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Cangzhou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308.0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10.9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409.4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Chengde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7702.4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3780.0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167.0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656.1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426.9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2141.4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5552.5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20426.3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28.8%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Handan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497.1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130.8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12.8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57.9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34.1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49.4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231.1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1013.2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Hengshui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730.4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31.4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14.7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14.1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232.2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1036.2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Langfang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338.1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17.6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151.6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529.9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Qinhuangdao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509.8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802.1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37.7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129.2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85.7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462.9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641.7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2669.0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Shijiazhuang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1513.9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714.6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46.4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571.7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286.9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150.9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863.5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4147.7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5.9%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Tangshan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2570.1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736.5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185.8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133.4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355.1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1332.0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5367.3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7.6%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Xingtai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1988.6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114.0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33.1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25.1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48.7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455.7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2681.0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3.8%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Zhangjiakou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2586.5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314.2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102.5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78.4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119.5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1511.5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4731.6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6.7%</w:t>
            </w:r>
          </w:p>
        </w:tc>
      </w:tr>
      <w:bookmarkEnd w:id="2"/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Total</w:t>
            </w:r>
          </w:p>
        </w:tc>
        <w:tc>
          <w:tcPr>
            <w:tcW w:w="8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28702.3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11829.1</w:t>
            </w:r>
          </w:p>
        </w:tc>
        <w:tc>
          <w:tcPr>
            <w:tcW w:w="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653.5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5583.9</w:t>
            </w:r>
          </w:p>
        </w:tc>
        <w:tc>
          <w:tcPr>
            <w:tcW w:w="8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2965.5</w:t>
            </w:r>
          </w:p>
        </w:tc>
        <w:tc>
          <w:tcPr>
            <w:tcW w:w="7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4492.2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16603.7</w:t>
            </w:r>
          </w:p>
        </w:tc>
        <w:tc>
          <w:tcPr>
            <w:tcW w:w="7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70830.2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100.0%</w:t>
            </w:r>
          </w:p>
        </w:tc>
      </w:tr>
    </w:tbl>
    <w:p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24"/>
        </w:rPr>
        <w:t xml:space="preserve">OVOCs: other VOCs;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4"/>
        </w:rPr>
        <w:t>TVOCs: total VOCs.</w:t>
      </w: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  <w:r>
        <w:rPr>
          <w:rFonts w:hint="eastAsia" w:ascii="Times New Roman" w:hAnsi="Times New Roman" w:eastAsia="等线" w:cs="Times New Roman"/>
          <w:b/>
          <w:i/>
          <w:sz w:val="28"/>
          <w:szCs w:val="28"/>
        </w:rPr>
        <w:t>Supplementary Figures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 xml:space="preserve">Figure A.1. </w:t>
      </w:r>
      <w:r>
        <w:rPr>
          <w:rFonts w:ascii="Times New Roman" w:hAnsi="Times New Roman" w:cs="Times New Roman"/>
          <w:sz w:val="24"/>
        </w:rPr>
        <w:t>Contribution</w:t>
      </w:r>
      <w:r>
        <w:rPr>
          <w:rFonts w:hint="eastAsia"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of dominant </w:t>
      </w:r>
      <w:r>
        <w:rPr>
          <w:rFonts w:hint="eastAsia" w:ascii="Times New Roman" w:hAnsi="Times New Roman" w:cs="Times New Roman"/>
          <w:sz w:val="24"/>
        </w:rPr>
        <w:t>forest</w:t>
      </w:r>
      <w:r>
        <w:rPr>
          <w:rFonts w:ascii="Times New Roman" w:hAnsi="Times New Roman" w:cs="Times New Roman"/>
          <w:sz w:val="24"/>
        </w:rPr>
        <w:t xml:space="preserve"> species to </w:t>
      </w:r>
      <w:r>
        <w:rPr>
          <w:rFonts w:hint="eastAsia"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components of BVOCs in the </w:t>
      </w:r>
      <w:r>
        <w:rPr>
          <w:rFonts w:hint="eastAsia" w:ascii="Times New Roman" w:hAnsi="Times New Roman" w:cs="Times New Roman"/>
          <w:sz w:val="24"/>
        </w:rPr>
        <w:t>Jing-Jin-Ji area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Figure A.2.</w:t>
      </w:r>
      <w:r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  <w:sz w:val="24"/>
        </w:rPr>
        <w:t xml:space="preserve">contribution of BVOCs emitted from the dominant </w:t>
      </w:r>
      <w:r>
        <w:rPr>
          <w:rFonts w:hint="eastAsia" w:ascii="Times New Roman" w:hAnsi="Times New Roman" w:cs="Times New Roman"/>
          <w:sz w:val="24"/>
        </w:rPr>
        <w:t>forest</w:t>
      </w:r>
      <w:r>
        <w:rPr>
          <w:rFonts w:ascii="Times New Roman" w:hAnsi="Times New Roman" w:cs="Times New Roman"/>
          <w:sz w:val="24"/>
        </w:rPr>
        <w:t xml:space="preserve"> species in each city in the Jing-Jin-Ji area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 xml:space="preserve">Figure A.3. </w:t>
      </w:r>
      <w:r>
        <w:rPr>
          <w:rFonts w:hint="eastAsia"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patial distribution of </w:t>
      </w:r>
      <w:r>
        <w:rPr>
          <w:rFonts w:hint="eastAsia" w:ascii="Times New Roman" w:hAnsi="Times New Roman" w:cs="Times New Roman"/>
          <w:sz w:val="24"/>
        </w:rPr>
        <w:t xml:space="preserve">total </w:t>
      </w:r>
      <w:r>
        <w:rPr>
          <w:rFonts w:ascii="Times New Roman" w:hAnsi="Times New Roman" w:cs="Times New Roman"/>
          <w:sz w:val="24"/>
        </w:rPr>
        <w:t xml:space="preserve">BVOCs </w:t>
      </w:r>
      <w:r>
        <w:rPr>
          <w:rFonts w:hint="eastAsia" w:ascii="Times New Roman" w:hAnsi="Times New Roman" w:cs="Times New Roman"/>
          <w:sz w:val="24"/>
        </w:rPr>
        <w:t xml:space="preserve">estimated by MEGAN </w:t>
      </w:r>
      <w:r>
        <w:rPr>
          <w:rFonts w:ascii="Times New Roman" w:hAnsi="Times New Roman" w:cs="Times New Roman"/>
          <w:sz w:val="24"/>
        </w:rPr>
        <w:t>in the Jing-Jin-Ji area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eastAsia="等线" w:cs="Times New Roman"/>
          <w:b/>
          <w:i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1259205</wp:posOffset>
                </wp:positionH>
                <wp:positionV relativeFrom="paragraph">
                  <wp:posOffset>3670935</wp:posOffset>
                </wp:positionV>
                <wp:extent cx="409575" cy="1403985"/>
                <wp:effectExtent l="0" t="0" r="9525" b="6350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99.15pt;margin-top:289.05pt;height:110.55pt;width:32.25pt;z-index:251663360;mso-width-relative:page;mso-height-relative:margin;mso-height-percent:200;" fillcolor="#FFFFFF" filled="t" stroked="f" coordsize="21600,21600" o:gfxdata="UEsDBAoAAAAAAIdO4kAAAAAAAAAAAAAAAAAEAAAAZHJzL1BLAwQUAAAACACHTuJAdlxYYNkAAAAL&#10;AQAADwAAAGRycy9kb3ducmV2LnhtbE2PwU7DMBBE70j8g7VI3KiToLZJiFMhKi4ckChIcHRjJ46I&#10;15btpuHvWU70ONqn2TfNbrETm3WIo0MB+SoDprFzasRBwMf7810JLCaJSk4OtYAfHWHXXl81slbu&#10;jG96PqSBUQnGWgowKfma89gZbWVcOa+Rbr0LViaKYeAqyDOV24kXWbbhVo5IH4z0+sno7vtwsgI+&#10;rRnVPrx+9Wqa9y/949ovwQtxe5NnD8CSXtI/DH/6pA4tOR3dCVVkE+WqvCdUwHpb5sCIKDYFjTkK&#10;2FZVAbxt+OWG9hdQSwMEFAAAAAgAh07iQH8uWlccAgAABAQAAA4AAABkcnMvZTJvRG9jLnhtbK1T&#10;zY7TMBC+I/EOlu80aUnZNmq6WroqQlp+pIUHcBynsXA8xnablAeAN+DEhTvP1edg7GRLgRvCB8vj&#10;mfk8883n1XXfKnIQ1knQBZ1OUkqE5lBJvSvo+3fbJwtKnGe6Ygq0KOhROHq9fvxo1ZlczKABVQlL&#10;EES7vDMFbbw3eZI43oiWuQkYodFZg22ZR9PuksqyDtFblczS9FnSga2MBS6cw9vbwUnXEb+uBfdv&#10;6toJT1RBsTYfdxv3MuzJesXynWWmkXwsg/1DFS2TGh89Q90yz8jeyr+gWsktOKj9hEObQF1LLmIP&#10;2M00/aOb+4YZEXtBcpw50+T+Hyx/fXhriawKmlGiWYsjOn39cvr24/T9M5kFejrjcoy6Nxjn++fQ&#10;45hjq87cAf/giIZNw/RO3FgLXSNYheVNQ2ZykTrguABSdq+gwnfY3kME6mvbBu6QDYLoOKbjeTSi&#10;94TjZZYu51dzSji6pln6dLmYxydY/pBtrPMvBLQkHApqcfQRnR3unA/VsPwhJDzmQMlqK5WKht2V&#10;G2XJgaFMtnGN6L+FKU26gi7ns3lE1hDyo4Ja6VHGSrYFXaRhjelKjzSEzgcOfF/2I60lVEckxMIg&#10;S/xGeGjAfqKkQ0kW1H3cMysoUS81krqcZlnQcDSy+dUMDXvpKS89THOEKqinZDhufNR97NfcIPlb&#10;GXkJUxoqGWtFqUW6xm8RtHxpx6hfn3f9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ZcWGDZAAAA&#10;CwEAAA8AAAAAAAAAAQAgAAAAIgAAAGRycy9kb3ducmV2LnhtbFBLAQIUABQAAAAIAIdO4kB/LlpX&#10;HAIAAAQEAAAOAAAAAAAAAAEAIAAAACgBAABkcnMvZTJvRG9jLnhtbFBLBQYAAAAABgAGAFkBAAC2&#10;BQAAAAA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3876040</wp:posOffset>
                </wp:positionH>
                <wp:positionV relativeFrom="paragraph">
                  <wp:posOffset>3649345</wp:posOffset>
                </wp:positionV>
                <wp:extent cx="409575" cy="1403985"/>
                <wp:effectExtent l="0" t="0" r="9525" b="6350"/>
                <wp:wrapNone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05.2pt;margin-top:287.35pt;height:110.55pt;width:32.25pt;z-index:251665408;mso-width-relative:page;mso-height-relative:margin;mso-height-percent:200;" fillcolor="#FFFFFF" filled="t" stroked="f" coordsize="21600,21600" o:gfxdata="UEsDBAoAAAAAAIdO4kAAAAAAAAAAAAAAAAAEAAAAZHJzL1BLAwQUAAAACACHTuJAdFzwdNoAAAAL&#10;AQAADwAAAGRycy9kb3ducmV2LnhtbE2Py07DMBBF90j8gzVI7KgdlEebxqkQFRsWSBQkWLrxJI4a&#10;P2S7afh7zIouR/fo3jPNbtETmdGH0RoO2YoBQdNZOZqBw+fHy8MaSIjCSDFZgxx+MMCuvb1pRC3t&#10;xbzjfIgDSSUm1IKDitHVlIZOoRZhZR2alPXWaxHT6Qcqvbikcj3RR8ZKqsVo0oISDp8VdqfDWXP4&#10;0mqUe//23ctp3r/2T4VbvOP8/i5jWyARl/gPw59+Uoc2OR3t2chAJg5lxvKEciiqvAKSiLLKN0CO&#10;HKpNsQbaNvT6h/YXUEsDBBQAAAAIAIdO4kCSd3MoHQIAAAQEAAAOAAAAZHJzL2Uyb0RvYy54bWyt&#10;U82O0zAQviPxDpbvNGlpdtuo6Wrpqghp+ZEWHsBxnMbC8RjbbbI8APsGnLhw57n6HIydbClwQ/hg&#10;eTwzn2e++by66ltFDsI6Cbqg00lKidAcKql3Bf3wfvtsQYnzTFdMgRYFvReOXq2fPll1JhczaEBV&#10;whIE0S7vTEEb702eJI43omVuAkZodNZgW+bRtLuksqxD9FYlszS9SDqwlbHAhXN4ezM46Tri17Xg&#10;/m1dO+GJKijW5uNu416GPVmvWL6zzDSSj2Wwf6iiZVLjoyeoG+YZ2Vv5F1QruQUHtZ9waBOoa8lF&#10;7AG7maZ/dHPXMCNiL0iOMyea3P+D5W8O7yyRVUEvKNGsxREdvz4cv/04fv9CZoGezrgco+4Mxvn+&#10;BfQ45tiqM7fAPzqiYdMwvRPX1kLXCFZhedOQmZylDjgugJTda6jwHbb3EIH62raBO2SDIDqO6f40&#10;GtF7wvFyni6zy4wSjq7pPH2+XGTxCZY/Zhvr/EsBLQmHglocfURnh1vnQzUsfwwJjzlQstpKpaJh&#10;d+VGWXJgKJNtXCP6b2FKk66gy2yWRWQNIT8qqJUeZaxkW9BFGtaYrvRIQ+h84MD3ZT/SWkJ1j4RY&#10;GGSJ3wgPDdjPlHQoyYK6T3tmBSXqlUZSl9P5PGg4GvPscoaGPfeU5x6mOUIV1FMyHDc+6j72a66R&#10;/K2MvIQpDZWMtaLUIl3jtwhaPrdj1K/Pu/4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dFzwdNoA&#10;AAALAQAADwAAAAAAAAABACAAAAAiAAAAZHJzL2Rvd25yZXYueG1sUEsBAhQAFAAAAAgAh07iQJJ3&#10;cygdAgAABAQAAA4AAAAAAAAAAQAgAAAAKQEAAGRycy9lMm9Eb2MueG1sUEsFBgAAAAAGAAYAWQEA&#10;ALgFAAAAAA=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3832225</wp:posOffset>
                </wp:positionH>
                <wp:positionV relativeFrom="paragraph">
                  <wp:posOffset>1932305</wp:posOffset>
                </wp:positionV>
                <wp:extent cx="410210" cy="1403985"/>
                <wp:effectExtent l="0" t="0" r="9525" b="635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0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01.75pt;margin-top:152.15pt;height:110.55pt;width:32.3pt;z-index:251661312;mso-width-relative:page;mso-height-relative:margin;mso-height-percent:200;" fillcolor="#FFFFFF" filled="t" stroked="f" coordsize="21600,21600" o:gfxdata="UEsDBAoAAAAAAIdO4kAAAAAAAAAAAAAAAAAEAAAAZHJzL1BLAwQUAAAACACHTuJAxMvv3NoAAAAL&#10;AQAADwAAAGRycy9kb3ducmV2LnhtbE2PwU7DMBBE70j8g7VI3KidpomqNE6FqLhwQKIgwdGNnTiq&#10;vbZsNw1/jznBcTVPM2/b/WINmVWIk0MOxYoBUdg7OeHI4eP9+WELJCaBUhiHisO3irDvbm9a0Uh3&#10;xTc1H9NIcgnGRnDQKfmG0thrZUVcOa8wZ4MLVqR8hpHKIK653Bq6ZqymVkyYF7Tw6kmr/ny8WA6f&#10;Vk/yEF6/Bmnmw8vwWPkleM7v7wq2A5LUkv5g+NXP6tBlp5O7oIzEcKhZWWWUQ8k2JZBM1PW2AHLi&#10;UK2rDdCupf9/6H4AUEsDBBQAAAAIAIdO4kC3Xx9FGwIAAAQEAAAOAAAAZHJzL2Uyb0RvYy54bWyt&#10;U82O0zAQviPxDpbvNGm3hTZqulq6KkJafqSFB3Adp7GwPcZ2m5QHYN+AExfuPFefg7GTLRXcED5Y&#10;Hs/M55lvPi+vO63IQTgvwZR0PMopEYZDJc2upB8/bJ7NKfGBmYopMKKkR+Hp9erpk2VrCzGBBlQl&#10;HEEQ44vWlrQJwRZZ5nkjNPMjsMKgswanWUDT7bLKsRbRtcomef48a8FV1gEX3uPtbe+kq4Rf14KH&#10;d3XtRSCqpFhbSLtL+zbu2WrJip1jtpF8KIP9QxWaSYOPnqFuWWBk7+RfUFpyBx7qMOKgM6hryUXq&#10;AbsZ5390c98wK1IvSI63Z5r8/4Plbw/vHZEVzo4SwzSO6PTt4fT95+nHVzKJ9LTWFxh1bzEudC+h&#10;i6GxVW/vgH/yxMC6YWYnbpyDthGswvLGMTO7SO1xfATZtm+gwnfYPkAC6mqnIyCyQRAdx3Q8j0Z0&#10;gXC8nOaLRX5FCUfXeJpfLeaz9AQrHrOt8+GVAE3ioaQOR5/Q2eHOh1gNKx5DUvWgZLWRSiXD7bZr&#10;5ciBoUw2aQ3o/jJMGdKWdDGbzBKygZifFKRlQBkrqUs6z+Ma0pUZaIid9xyEbtsNtG6hOiIhDnpZ&#10;4jfCQwPuCyUtSrKk/vOeOUGJem2Q1MV4Oo0aTsZ09mKChrv0bC89zHCEKmmgpD+uQ9J9P7obJH8j&#10;Ey9xSn0lQ60otUTX8C2ili/tFPX7865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TL79zaAAAA&#10;CwEAAA8AAAAAAAAAAQAgAAAAIgAAAGRycy9kb3ducmV2LnhtbFBLAQIUABQAAAAIAIdO4kC3Xx9F&#10;GwIAAAQEAAAOAAAAAAAAAAEAIAAAACkBAABkcnMvZTJvRG9jLnhtbFBLBQYAAAAABgAGAFkBAAC2&#10;BQAAAAA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1258570</wp:posOffset>
                </wp:positionH>
                <wp:positionV relativeFrom="paragraph">
                  <wp:posOffset>1977390</wp:posOffset>
                </wp:positionV>
                <wp:extent cx="410210" cy="1403985"/>
                <wp:effectExtent l="0" t="0" r="9525" b="63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0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99.1pt;margin-top:155.7pt;height:110.55pt;width:32.3pt;z-index:251659264;mso-width-relative:page;mso-height-relative:margin;mso-height-percent:200;" fillcolor="#FFFFFF" filled="t" stroked="f" coordsize="21600,21600" o:gfxdata="UEsDBAoAAAAAAIdO4kAAAAAAAAAAAAAAAAAEAAAAZHJzL1BLAwQUAAAACACHTuJALg7PddkAAAAL&#10;AQAADwAAAGRycy9kb3ducmV2LnhtbE2Py07DMBBF90j8gzVI7KgTl1QlxKkQFRsWSBQkWLrxJI6I&#10;H7LdNPw9wwqWV3N059xmt9iJzRjT6J2EclUAQ9d5PbpBwvvb080WWMrKaTV5hxK+McGuvbxoVK39&#10;2b3ifMgDoxKXaiXB5BxqzlNn0Kq08gEd3XofrcoU48B1VGcqtxMXRbHhVo2OPhgV8NFg93U4WQkf&#10;1ox6H18+ez3N++f+oQpLDFJeX5XFPbCMS/6D4Vef1KElp6M/OZ3YRPluKwiVsC7LW2BEiI2gMUcJ&#10;1VpUwNuG/9/Q/gBQSwMEFAAAAAgAh07iQObgmh8eAgAABgQAAA4AAABkcnMvZTJvRG9jLnhtbK1T&#10;zY7TMBC+I/EOlu806R/bRk1XS1dFSMuPtPAAjuM0Fo7H2G6T8gDsG3Diwp3n6nMwdrKlwA3hg+Xx&#10;zHye+ebz6rprFDkI6yTonI5HKSVCcyil3uX0w/vtswUlzjNdMgVa5PQoHL1eP32yak0mJlCDKoUl&#10;CKJd1pqc1t6bLEkcr0XD3AiM0OiswDbMo2l3SWlZi+iNSiZp+jxpwZbGAhfO4e1t76TriF9Vgvu3&#10;VeWEJyqnWJuPu417EfZkvWLZzjJTSz6Uwf6hioZJjY+eoW6ZZ2Rv5V9QjeQWHFR+xKFJoKokF7EH&#10;7Gac/tHNfc2MiL0gOc6caXL/D5a/ObyzRJY5naZXlGjW4JBOXx9O336cvn8hk0BQa1yGcfcGI333&#10;AjocdGzWmTvgHx3RsKmZ3okba6GtBSuxwHHITC5SexwXQIr2NZT4Dtt7iEBdZZvAHvJBEB0HdTwP&#10;R3SecLycpctlOqWEo2s8S6fLxTw+wbLHbGOdfymgIeGQU4vDj+jscOd8qIZljyHhMQdKllupVDTs&#10;rtgoSw4MhbKNa0D/LUxp0uZ0OZ/MI7KGkB811EiPQlayyekiDWtIV3qgIXTec+C7ohtoLaA8IiEW&#10;emHiR8JDDfYzJS2KMqfu055ZQYl6pZHU5Xg2CyqOxmx+NUHDXnqKSw/THKFy6inpjxsflR/7NTdI&#10;/lZGXsKU+kqGWlFska7hYwQ1X9ox6tf3Xf8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g7PddkA&#10;AAALAQAADwAAAAAAAAABACAAAAAiAAAAZHJzL2Rvd25yZXYueG1sUEsBAhQAFAAAAAgAh07iQObg&#10;mh8eAgAABgQAAA4AAAAAAAAAAQAgAAAAKAEAAGRycy9lMm9Eb2MueG1sUEsFBgAAAAAGAAYAWQEA&#10;ALgFAAAAAA=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5381625" cy="3761105"/>
            <wp:effectExtent l="0" t="0" r="3175" b="10795"/>
            <wp:docPr id="2" name="图片 2" descr="树种成分饼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树种成分饼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376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120" w:firstLineChars="5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Fig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ure</w:t>
      </w:r>
      <w:r>
        <w:rPr>
          <w:rFonts w:hint="eastAsia" w:ascii="Times New Roman" w:hAnsi="Times New Roman" w:cs="Times New Roman"/>
          <w:b/>
          <w:sz w:val="24"/>
        </w:rPr>
        <w:t xml:space="preserve"> A.1 </w:t>
      </w:r>
      <w:r>
        <w:rPr>
          <w:rFonts w:ascii="Times New Roman" w:hAnsi="Times New Roman" w:cs="Times New Roman"/>
          <w:sz w:val="24"/>
        </w:rPr>
        <w:t>Contribution</w:t>
      </w:r>
      <w:r>
        <w:rPr>
          <w:rFonts w:hint="eastAsia"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of dominant </w:t>
      </w:r>
      <w:r>
        <w:rPr>
          <w:rFonts w:hint="eastAsia" w:ascii="Times New Roman" w:hAnsi="Times New Roman" w:cs="Times New Roman"/>
          <w:sz w:val="24"/>
        </w:rPr>
        <w:t>forest</w:t>
      </w:r>
      <w:r>
        <w:rPr>
          <w:rFonts w:ascii="Times New Roman" w:hAnsi="Times New Roman" w:cs="Times New Roman"/>
          <w:sz w:val="24"/>
        </w:rPr>
        <w:t xml:space="preserve"> species to </w:t>
      </w:r>
      <w:r>
        <w:rPr>
          <w:rFonts w:hint="eastAsia"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sz w:val="24"/>
        </w:rPr>
        <w:t xml:space="preserve"> components of BVOCs in the </w:t>
      </w:r>
      <w:r>
        <w:rPr>
          <w:rFonts w:hint="eastAsia" w:ascii="Times New Roman" w:hAnsi="Times New Roman" w:cs="Times New Roman"/>
          <w:sz w:val="24"/>
        </w:rPr>
        <w:t>Jing-Jin-Ji area</w:t>
      </w:r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(a, </w:t>
      </w:r>
      <w:r>
        <w:rPr>
          <w:rFonts w:ascii="Times New Roman" w:hAnsi="Times New Roman" w:cs="Times New Roman"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c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d represent isoprene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terpene</w:t>
      </w:r>
      <w:r>
        <w:rPr>
          <w:rFonts w:hint="eastAsia" w:ascii="Times New Roman" w:hAnsi="Times New Roman" w:cs="Times New Roman"/>
          <w:sz w:val="24"/>
        </w:rPr>
        <w:t>, other VOCs and total VOCs,</w:t>
      </w:r>
      <w:r>
        <w:rPr>
          <w:rFonts w:ascii="Times New Roman" w:hAnsi="Times New Roman" w:cs="Times New Roman"/>
          <w:sz w:val="24"/>
        </w:rPr>
        <w:t xml:space="preserve"> respectively</w:t>
      </w:r>
      <w:r>
        <w:rPr>
          <w:rFonts w:hint="eastAsia" w:ascii="Times New Roman" w:hAnsi="Times New Roman" w:cs="Times New Roman"/>
          <w:sz w:val="24"/>
        </w:rPr>
        <w:t>)</w:t>
      </w:r>
    </w:p>
    <w:p>
      <w:pPr>
        <w:spacing w:line="480" w:lineRule="auto"/>
        <w:ind w:firstLine="120" w:firstLineChars="50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firstLine="120" w:firstLineChars="50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firstLine="240" w:firstLineChars="100"/>
        <w:jc w:val="left"/>
        <w:rPr>
          <w:rFonts w:ascii="Times New Roman" w:hAnsi="Times New Roman" w:cs="Times New Roman"/>
          <w:sz w:val="24"/>
        </w:rPr>
      </w:pPr>
    </w:p>
    <w:p>
      <w:pPr>
        <w:spacing w:line="480" w:lineRule="auto"/>
        <w:ind w:firstLine="240" w:firstLineChars="100"/>
        <w:jc w:val="left"/>
        <w:rPr>
          <w:rFonts w:ascii="Times New Roman" w:hAnsi="Times New Roman" w:cs="Times New Roman"/>
          <w:sz w:val="24"/>
        </w:rPr>
        <w:sectPr>
          <w:pgSz w:w="11906" w:h="16838"/>
          <w:pgMar w:top="1701" w:right="1701" w:bottom="1701" w:left="1701" w:header="851" w:footer="992" w:gutter="0"/>
          <w:cols w:space="0" w:num="1"/>
          <w:docGrid w:type="lines" w:linePitch="312" w:charSpace="0"/>
        </w:sectPr>
      </w:pPr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3630295</wp:posOffset>
                </wp:positionV>
                <wp:extent cx="409575" cy="1403985"/>
                <wp:effectExtent l="0" t="0" r="9525" b="6350"/>
                <wp:wrapNone/>
                <wp:docPr id="10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57.05pt;margin-top:285.85pt;height:110.55pt;width:32.25pt;z-index:251673600;mso-width-relative:page;mso-height-relative:margin;mso-height-percent:200;" fillcolor="#FFFFFF" filled="t" stroked="f" coordsize="21600,21600" o:gfxdata="UEsDBAoAAAAAAIdO4kAAAAAAAAAAAAAAAAAEAAAAZHJzL1BLAwQUAAAACACHTuJAytAiz9oAAAAL&#10;AQAADwAAAGRycy9kb3ducmV2LnhtbE2PsU7DMBCGdyTewTokNuq4Ik0IcSpE1YUBiYIEoxs7cYR9&#10;tmw3Td8eM8F2p/v03/e328UaMqsQJ4cc2KoAorB3csKRw8f7/q4GEpNAKYxDxeGiImy766tWNNKd&#10;8U3NhzSSHIKxERx0Sr6hNPZaWRFXzivMt8EFK1Jew0hlEOccbg1dF8WGWjFh/qCFV89a9d+Hk+Xw&#10;afUkd+H1a5Bm3r0MT6Vfguf89oYVj0CSWtIfDL/6WR267HR0J5SRGA4lu2cZzUPFKiCZKKt6A+TI&#10;oXpY10C7lv7v0P0AUEsDBBQAAAAIAIdO4kBIxds6HAIAAAUEAAAOAAAAZHJzL2Uyb0RvYy54bWyt&#10;U82O0zAQviPxDpbvNGlp2DZqulq6KkJafqSFB3Acp7FwPMZ2m5QHgDfgxIU7z9XnYOxkS4EbwgfL&#10;45n5PPPN59V13ypyENZJ0AWdTlJKhOZQSb0r6Pt32ycLSpxnumIKtCjoUTh6vX78aNWZXMygAVUJ&#10;SxBEu7wzBW28N3mSON6IlrkJGKHRWYNtmUfT7pLKsg7RW5XM0vRZ0oGtjAUunMPb28FJ1xG/rgX3&#10;b+raCU9UQbE2H3cb9zLsyXrF8p1lppF8LIP9QxUtkxofPUPdMs/I3sq/oFrJLTio/YRDm0BdSy5i&#10;D9jNNP2jm/uGGRF7QXKcOdPk/h8sf314a4mscHZIj2Ytzuj09cvp24/T989kFvjpjMsx7N5goO+f&#10;Q4+xsVdn7oB/cETDpmF6J26sha4RrML6piEzuUgdcFwAKbtXUOE7bO8hAvW1bQN5SAdBdCzkeJ6N&#10;6D3heDlPl9lVRglH13SePl0usvgEyx+yjXX+hYCWhENBLc4+orPDnfOhGpY/hITHHChZbaVS0bC7&#10;cqMsOTDUyTauEf23MKVJV9BlNssisoaQHyXUSo86VrIt6CINa0xXeqQhdD5w4PuyH2ktoToiIRYG&#10;XeI/wkMD9hMlHWqyoO7jnllBiXqpkdTldD4PIo7GPLuaoWEvPeWlh2mOUAX1lAzHjY/Cj/2aGyR/&#10;KyMvYUpDJWOtqLVI1/gvgpgv7Rj16/euf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K0CLP2gAA&#10;AAsBAAAPAAAAAAAAAAEAIAAAACIAAABkcnMvZG93bnJldi54bWxQSwECFAAUAAAACACHTuJASMXb&#10;OhwCAAAFBAAADgAAAAAAAAABACAAAAApAQAAZHJzL2Uyb0RvYy54bWxQSwUGAAAAAAYABgBZAQAA&#10;twUAAAAA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3642995</wp:posOffset>
                </wp:positionV>
                <wp:extent cx="409575" cy="1403985"/>
                <wp:effectExtent l="0" t="0" r="9525" b="6350"/>
                <wp:wrapNone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72.8pt;margin-top:286.85pt;height:110.55pt;width:32.25pt;z-index:251671552;mso-width-relative:page;mso-height-relative:margin;mso-height-percent:200;" fillcolor="#FFFFFF" filled="t" stroked="f" coordsize="21600,21600" o:gfxdata="UEsDBAoAAAAAAIdO4kAAAAAAAAAAAAAAAAAEAAAAZHJzL1BLAwQUAAAACACHTuJAknCw1tkAAAAL&#10;AQAADwAAAGRycy9kb3ducmV2LnhtbE2Py07DMBBF90j8gzVI7Kid0jQlxKkQFRsWSBSkdunGThzh&#10;l2w3DX/PsILl1Rzde6bZztaQScU0esehWDAgynVejm7g8PnxcrcBkrJwUhjvFIdvlWDbXl81opb+&#10;4t7VtM8DwRKXasFB5xxqSlOnlRVp4YNyeOt9tCJjjAOVUVyw3Bq6ZGxNrRgdLmgR1LNW3df+bDkc&#10;rB7lLr4de2mm3Wv/VIY5Bs5vbwr2CCSrOf/B8KuP6tCi08mfnUzEYF6Va0Q5lNV9BQSJZcEKICcO&#10;1cNqA7Rt6P8f2h9QSwMEFAAAAAgAh07iQIbT8FwcAgAABAQAAA4AAABkcnMvZTJvRG9jLnhtbK1T&#10;zY7TMBC+I/EOlu80aWnYNmq6WroqQlp+pIUHcBynsXA8xnablAeAN+DEhTvP1edg7GRLgRvCB8vj&#10;mfk8883n1XXfKnIQ1knQBZ1OUkqE5lBJvSvo+3fbJwtKnGe6Ygq0KOhROHq9fvxo1ZlczKABVQlL&#10;EES7vDMFbbw3eZI43oiWuQkYodFZg22ZR9PuksqyDtFblczS9FnSga2MBS6cw9vbwUnXEb+uBfdv&#10;6toJT1RBsTYfdxv3MuzJesXynWWmkXwsg/1DFS2TGh89Q90yz8jeyr+gWsktOKj9hEObQF1LLmIP&#10;2M00/aOb+4YZEXtBcpw50+T+Hyx/fXhriawKuqREsxZHdPr65fTtx+n7ZzIL9HTG5Rh1bzDO98+h&#10;xzHHVp25A/7BEQ2bhumduLEWukawCsubhszkInXAcQGk7F5Bhe+wvYcI1Ne2DdwhGwTRcUzH82hE&#10;7wnHy3m6zK4ySji6pvP06XKRxSdY/pBtrPMvBLQkHApqcfQRnR3unA/VsPwhJDzmQMlqK5WKht2V&#10;G2XJgaFMtnGN6L+FKU06JCqbZRFZQ8iPCmqlRxkr2RZ0kYY1pis90hA6HzjwfdmPtJZQHZEQC4Ms&#10;8RvhoQH7iZIOJVlQ93HPrKBEvdRI6nI6nwcNR2OeXc3QsJee8tLDNEeognpKhuPGR93Hfs0Nkr+V&#10;kZcwpaGSsVaUWqRr/BZBy5d2jPr1edc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JJwsNbZAAAA&#10;CwEAAA8AAAAAAAAAAQAgAAAAIgAAAGRycy9kb3ducmV2LnhtbFBLAQIUABQAAAAIAIdO4kCG0/Bc&#10;HAIAAAQEAAAOAAAAAAAAAAEAIAAAACgBAABkcnMvZTJvRG9jLnhtbFBLBQYAAAAABgAGAFkBAAC2&#10;BQAAAAA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923290</wp:posOffset>
                </wp:positionH>
                <wp:positionV relativeFrom="paragraph">
                  <wp:posOffset>1864360</wp:posOffset>
                </wp:positionV>
                <wp:extent cx="409575" cy="1403985"/>
                <wp:effectExtent l="0" t="0" r="9525" b="6350"/>
                <wp:wrapNone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72.7pt;margin-top:146.8pt;height:110.55pt;width:32.25pt;z-index:251667456;mso-width-relative:page;mso-height-relative:margin;mso-height-percent:200;" fillcolor="#FFFFFF" filled="t" stroked="f" coordsize="21600,21600" o:gfxdata="UEsDBAoAAAAAAIdO4kAAAAAAAAAAAAAAAAAEAAAAZHJzL1BLAwQUAAAACACHTuJAnopbgtoAAAAL&#10;AQAADwAAAGRycy9kb3ducmV2LnhtbE2PwU7DMBBE70j8g7VI3KidkBQS4lSIigsHJApSe3RjJ46I&#10;15btpuHvMSd6HO3TzNtms5iJzMqH0SKHbMWAKOysHHHg8PX5evcIJESBUkwWFYcfFWDTXl81opb2&#10;jB9q3sWBpBIMteCgY3Q1paHTyoiwsk5huvXWGxFT9AOVXpxTuZloztiaGjFiWtDCqRetuu/dyXDY&#10;Gz3KrX8/9HKat2/9c+kW7zi/vcnYE5ColvgPw59+Uoc2OR3tCWUgU8pFWSSUQ17dr4EkImdVBeTI&#10;ocyKB6BtQy9/aH8BUEsDBBQAAAAIAIdO4kBEWF/6HAIAAAQEAAAOAAAAZHJzL2Uyb0RvYy54bWyt&#10;U82O0zAQviPxDpbvNGlp2DZqulq6KkJafqSFB3Acp7FwPMZ2m5QHgDfgxIU7z9XnYOxkS4EbwgfL&#10;45n5PPPN59V13ypyENZJ0AWdTlJKhOZQSb0r6Pt32ycLSpxnumIKtCjoUTh6vX78aNWZXMygAVUJ&#10;SxBEu7wzBW28N3mSON6IlrkJGKHRWYNtmUfT7pLKsg7RW5XM0vRZ0oGtjAUunMPb28FJ1xG/rgX3&#10;b+raCU9UQbE2H3cb9zLsyXrF8p1lppF8LIP9QxUtkxofPUPdMs/I3sq/oFrJLTio/YRDm0BdSy5i&#10;D9jNNP2jm/uGGRF7QXKcOdPk/h8sf314a4msCnpFiWYtjuj09cvp24/T989kFujpjMsx6t5gnO+f&#10;Q49jjq06cwf8gyMaNg3TO3FjLXSNYBWWNw2ZyUXqgOMCSNm9ggrfYXsPEaivbRu4QzYIouOYjufR&#10;iN4TjpfzdJldZZRwdE3n6dPlIotPsPwh21jnXwhoSTgU1OLoIzo73DkfqmH5Q0h4zIGS1VYqFQ27&#10;KzfKkgNDmWzjGtF/C1OadAVdZrMsImsI+VFBrfQoYyXbgi7SsMZ0pUcaQucDB74v+5HWEqojEmJh&#10;kCV+Izw0YD9R0qEkC+o+7pkVlKiXGkldTufzoOFozLOrGRr20lNeepjmCFVQT8lw3Pio+9ivuUHy&#10;tzLyEqY0VDLWilKLdI3fImj50o5Rvz7v+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eiluC2gAA&#10;AAsBAAAPAAAAAAAAAAEAIAAAACIAAABkcnMvZG93bnJldi54bWxQSwECFAAUAAAACACHTuJARFhf&#10;+hwCAAAEBAAADgAAAAAAAAABACAAAAApAQAAZHJzL2Uyb0RvYy54bWxQSwUGAAAAAAYABgBZAQAA&#10;twUAAAAA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3264535</wp:posOffset>
                </wp:positionH>
                <wp:positionV relativeFrom="paragraph">
                  <wp:posOffset>1870710</wp:posOffset>
                </wp:positionV>
                <wp:extent cx="410210" cy="1403985"/>
                <wp:effectExtent l="0" t="0" r="9525" b="6350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90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4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57.05pt;margin-top:147.3pt;height:110.55pt;width:32.3pt;z-index:251669504;mso-width-relative:page;mso-height-relative:margin;mso-height-percent:200;" fillcolor="#FFFFFF" filled="t" stroked="f" coordsize="21600,21600" o:gfxdata="UEsDBAoAAAAAAIdO4kAAAAAAAAAAAAAAAAAEAAAAZHJzL1BLAwQUAAAACACHTuJAoVGHrtkAAAAL&#10;AQAADwAAAGRycy9kb3ducmV2LnhtbE2PwU7DMBBE70j8g7VI3KiTqmnaEKdCVFw4IFGQ6NGNN3FE&#10;vLZsNw1/j3uC42qeZt7Wu9mMbEIfBksC8kUGDKm1aqBewOfHy8MGWIiSlBwtoYAfDLBrbm9qWSl7&#10;oXecDrFnqYRCJQXoGF3FeWg1GhkW1iGlrLPeyJhO33Pl5SWVm5Evs2zNjRwoLWjp8Flj+304GwFf&#10;Rg9q79+OnRqn/Wv3VLjZOyHu7/LsEVjEOf7BcNVP6tAkp5M9kwpsFFDkqzyhApbb1RpYIopyUwI7&#10;XaOiBN7U/P8PzS9QSwMEFAAAAAgAh07iQJQR57AbAgAABAQAAA4AAABkcnMvZTJvRG9jLnhtbK1T&#10;zY7TMBC+I/EOlu80abeFbdR0tXRVhLT8SAsP4DhOY2F7jO02WR4A3oATF+48V5+DsZMtBW4IHyyP&#10;Z+bzzDefV1e9VuQgnJdgSjqd5JQIw6GWZlfS9++2Ty4p8YGZmikwoqT3wtOr9eNHq84WYgYtqFo4&#10;giDGF50taRuCLbLM81Zo5idghUFnA06zgKbbZbVjHaJrlc3y/GnWgautAy68x9ubwUnXCb9pBA9v&#10;msaLQFRJsbaQdpf2Ku7ZesWKnWO2lXwsg/1DFZpJg4+eoG5YYGTv5F9QWnIHHpow4aAzaBrJReoB&#10;u5nmf3Rz1zIrUi9Ijrcnmvz/g+WvD28dkXVJcVCGaRzR8euX47cfx++fySzS01lfYNSdxbjQP4ce&#10;x5xa9fYW+AdPDGxaZnbi2jnoWsFqLG8aM7Oz1AHHR5CqewU1vsP2ARJQ3zgduUM2CKLjmO5PoxF9&#10;IBwv5/lymV9QwtE1necXy8tFeoIVD9nW+fBCgCbxUFKHo0/o7HDrQ6yGFQ8h8TEPStZbqVQy3K7a&#10;KEcODGWyTWtE/y1MGdKVdLmYLRKygZifFKRlQBkrqZHHPK4xXZmRhtj5wEHoq36ktYL6HglxMMgS&#10;vxEeWnCfKOlQkiX1H/fMCUrUS4OkLqfzedRwMuaLZzM03LmnOvcwwxGqpIGS4bgJSfepX3uN5G9l&#10;4iVOaahkrBWllugav0XU8rmdon593vV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oVGHrtkAAAAL&#10;AQAADwAAAAAAAAABACAAAAAiAAAAZHJzL2Rvd25yZXYueG1sUEsBAhQAFAAAAAgAh07iQJQR57Ab&#10;AgAABAQAAA4AAAAAAAAAAQAgAAAAKAEAAGRycy9lMm9Eb2MueG1sUEsFBgAAAAAGAAYAWQEAALUF&#10;AAAAAA==&#10;">
                <v:fill on="t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sz w:val="24"/>
                        </w:rPr>
                        <w:t>b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5397500" cy="3770630"/>
            <wp:effectExtent l="0" t="0" r="0" b="1270"/>
            <wp:docPr id="3" name="图片 3" descr="城市成分饼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城市成分饼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41" w:firstLineChars="10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sz w:val="24"/>
        </w:rPr>
        <w:t>Fig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ure</w:t>
      </w:r>
      <w:r>
        <w:rPr>
          <w:rFonts w:hint="eastAsia" w:ascii="Times New Roman" w:hAnsi="Times New Roman" w:cs="Times New Roman"/>
          <w:b/>
          <w:sz w:val="24"/>
        </w:rPr>
        <w:t xml:space="preserve"> A.2</w:t>
      </w:r>
      <w:r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/>
          <w:sz w:val="24"/>
        </w:rPr>
        <w:t xml:space="preserve">contribution of BVOCs emitted from the dominant </w:t>
      </w:r>
      <w:r>
        <w:rPr>
          <w:rFonts w:hint="eastAsia" w:ascii="Times New Roman" w:hAnsi="Times New Roman" w:cs="Times New Roman"/>
          <w:sz w:val="24"/>
        </w:rPr>
        <w:t>forest</w:t>
      </w:r>
      <w:r>
        <w:rPr>
          <w:rFonts w:ascii="Times New Roman" w:hAnsi="Times New Roman" w:cs="Times New Roman"/>
          <w:sz w:val="24"/>
        </w:rPr>
        <w:t xml:space="preserve"> species in each city in the Jing-Jin-Ji area</w:t>
      </w:r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(a, </w:t>
      </w:r>
      <w:r>
        <w:rPr>
          <w:rFonts w:ascii="Times New Roman" w:hAnsi="Times New Roman" w:cs="Times New Roman"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c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d represent isoprene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terpene</w:t>
      </w:r>
      <w:r>
        <w:rPr>
          <w:rFonts w:hint="eastAsia" w:ascii="Times New Roman" w:hAnsi="Times New Roman" w:cs="Times New Roman"/>
          <w:sz w:val="24"/>
        </w:rPr>
        <w:t>, other VOCs and total VOCs,</w:t>
      </w:r>
      <w:r>
        <w:rPr>
          <w:rFonts w:ascii="Times New Roman" w:hAnsi="Times New Roman" w:cs="Times New Roman"/>
          <w:sz w:val="24"/>
        </w:rPr>
        <w:t xml:space="preserve"> respectively</w:t>
      </w:r>
      <w:r>
        <w:rPr>
          <w:rFonts w:hint="eastAsia" w:ascii="Times New Roman" w:hAnsi="Times New Roman" w:cs="Times New Roman"/>
          <w:sz w:val="24"/>
        </w:rPr>
        <w:t>)</w:t>
      </w:r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  <w:sectPr>
          <w:type w:val="continuous"/>
          <w:pgSz w:w="11906" w:h="16838"/>
          <w:pgMar w:top="1701" w:right="1701" w:bottom="1701" w:left="1701" w:header="851" w:footer="992" w:gutter="0"/>
          <w:cols w:space="0" w:num="1"/>
          <w:docGrid w:type="lines" w:linePitch="312" w:charSpace="0"/>
        </w:sectPr>
      </w:pPr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0" distR="0">
            <wp:extent cx="6931660" cy="5200650"/>
            <wp:effectExtent l="0" t="0" r="635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31660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41" w:firstLineChars="100"/>
        <w:jc w:val="center"/>
        <w:rPr>
          <w:rFonts w:ascii="Times New Roman" w:hAnsi="Times New Roman" w:cs="Times New Roman"/>
          <w:sz w:val="24"/>
        </w:rPr>
      </w:pPr>
      <w:bookmarkStart w:id="3" w:name="OLE_LINK1"/>
      <w:r>
        <w:rPr>
          <w:rFonts w:hint="eastAsia" w:ascii="Times New Roman" w:hAnsi="Times New Roman" w:cs="Times New Roman"/>
          <w:b/>
          <w:sz w:val="24"/>
        </w:rPr>
        <w:t>Fig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ure</w:t>
      </w:r>
      <w:bookmarkStart w:id="4" w:name="_GoBack"/>
      <w:bookmarkEnd w:id="4"/>
      <w:r>
        <w:rPr>
          <w:rFonts w:hint="eastAsia" w:ascii="Times New Roman" w:hAnsi="Times New Roman" w:cs="Times New Roman"/>
          <w:b/>
          <w:sz w:val="24"/>
        </w:rPr>
        <w:t xml:space="preserve"> A.3 </w:t>
      </w:r>
      <w:r>
        <w:rPr>
          <w:rFonts w:hint="eastAsia"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patial distribution of </w:t>
      </w:r>
      <w:r>
        <w:rPr>
          <w:rFonts w:hint="eastAsia" w:ascii="Times New Roman" w:hAnsi="Times New Roman" w:cs="Times New Roman"/>
          <w:sz w:val="24"/>
        </w:rPr>
        <w:t xml:space="preserve">total </w:t>
      </w:r>
      <w:r>
        <w:rPr>
          <w:rFonts w:ascii="Times New Roman" w:hAnsi="Times New Roman" w:cs="Times New Roman"/>
          <w:sz w:val="24"/>
        </w:rPr>
        <w:t xml:space="preserve">BVOCs </w:t>
      </w:r>
      <w:r>
        <w:rPr>
          <w:rFonts w:hint="eastAsia" w:ascii="Times New Roman" w:hAnsi="Times New Roman" w:cs="Times New Roman"/>
          <w:sz w:val="24"/>
        </w:rPr>
        <w:t xml:space="preserve">estimated by MEGAN </w:t>
      </w:r>
      <w:r>
        <w:rPr>
          <w:rFonts w:ascii="Times New Roman" w:hAnsi="Times New Roman" w:cs="Times New Roman"/>
          <w:sz w:val="24"/>
        </w:rPr>
        <w:t>in the Jing-Jin-Ji area</w:t>
      </w:r>
      <w:bookmarkEnd w:id="3"/>
    </w:p>
    <w:p>
      <w:pPr>
        <w:spacing w:line="480" w:lineRule="auto"/>
        <w:ind w:firstLine="240" w:firstLineChars="10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(a, </w:t>
      </w:r>
      <w:r>
        <w:rPr>
          <w:rFonts w:ascii="Times New Roman" w:hAnsi="Times New Roman" w:cs="Times New Roman"/>
          <w:sz w:val="24"/>
        </w:rPr>
        <w:t>b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c</w:t>
      </w:r>
      <w:r>
        <w:rPr>
          <w:rFonts w:hint="eastAsia"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d represent isoprene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terpene</w:t>
      </w:r>
      <w:r>
        <w:rPr>
          <w:rFonts w:hint="eastAsia" w:ascii="Times New Roman" w:hAnsi="Times New Roman" w:cs="Times New Roman"/>
          <w:sz w:val="24"/>
        </w:rPr>
        <w:t>, other VOCs and total VOCs,</w:t>
      </w:r>
      <w:r>
        <w:rPr>
          <w:rFonts w:ascii="Times New Roman" w:hAnsi="Times New Roman" w:cs="Times New Roman"/>
          <w:sz w:val="24"/>
        </w:rPr>
        <w:t xml:space="preserve"> respectively</w:t>
      </w:r>
      <w:r>
        <w:rPr>
          <w:rFonts w:hint="eastAsia" w:ascii="Times New Roman" w:hAnsi="Times New Roman" w:cs="Times New Roman"/>
          <w:sz w:val="24"/>
        </w:rPr>
        <w:t>)</w:t>
      </w:r>
    </w:p>
    <w:sectPr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C2F0B"/>
    <w:rsid w:val="00015771"/>
    <w:rsid w:val="00076C17"/>
    <w:rsid w:val="00255182"/>
    <w:rsid w:val="006D5AC6"/>
    <w:rsid w:val="00966210"/>
    <w:rsid w:val="00CC543A"/>
    <w:rsid w:val="02584862"/>
    <w:rsid w:val="02AB0514"/>
    <w:rsid w:val="13055CB2"/>
    <w:rsid w:val="13AA7A43"/>
    <w:rsid w:val="197771A8"/>
    <w:rsid w:val="19EA046B"/>
    <w:rsid w:val="1CC343DD"/>
    <w:rsid w:val="1DF63905"/>
    <w:rsid w:val="264B0A3A"/>
    <w:rsid w:val="26EA03DE"/>
    <w:rsid w:val="2F2153DB"/>
    <w:rsid w:val="2F2A4F09"/>
    <w:rsid w:val="2FD40039"/>
    <w:rsid w:val="3984589E"/>
    <w:rsid w:val="4A0229CB"/>
    <w:rsid w:val="4A5B1559"/>
    <w:rsid w:val="4CEC2F0B"/>
    <w:rsid w:val="574E0504"/>
    <w:rsid w:val="587E58D5"/>
    <w:rsid w:val="6B9C687F"/>
    <w:rsid w:val="6DE3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bscript"/>
    </w:rPr>
  </w:style>
  <w:style w:type="character" w:customStyle="1" w:styleId="8">
    <w:name w:val="font6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9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10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11">
    <w:name w:val="font41"/>
    <w:basedOn w:val="5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">
    <w:name w:val="font21"/>
    <w:basedOn w:val="5"/>
    <w:qFormat/>
    <w:uiPriority w:val="0"/>
    <w:rPr>
      <w:rFonts w:hint="default" w:ascii="Times New Roman" w:hAnsi="Times New Roman" w:cs="Times New Roman"/>
      <w:i/>
      <w:color w:val="000000"/>
      <w:sz w:val="24"/>
      <w:szCs w:val="24"/>
      <w:u w:val="none"/>
    </w:rPr>
  </w:style>
  <w:style w:type="paragraph" w:customStyle="1" w:styleId="13">
    <w:name w:val="Author names"/>
    <w:basedOn w:val="1"/>
    <w:next w:val="1"/>
    <w:qFormat/>
    <w:uiPriority w:val="0"/>
    <w:pPr>
      <w:widowControl/>
      <w:spacing w:before="240" w:line="360" w:lineRule="auto"/>
      <w:jc w:val="left"/>
    </w:pPr>
    <w:rPr>
      <w:rFonts w:ascii="Times New Roman" w:hAnsi="Times New Roman" w:eastAsia="宋体" w:cs="Times New Roman"/>
      <w:kern w:val="0"/>
      <w:sz w:val="28"/>
      <w:lang w:val="en-GB" w:eastAsia="en-GB"/>
    </w:rPr>
  </w:style>
  <w:style w:type="character" w:customStyle="1" w:styleId="14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654</Words>
  <Characters>3729</Characters>
  <Lines>31</Lines>
  <Paragraphs>8</Paragraphs>
  <TotalTime>23</TotalTime>
  <ScaleCrop>false</ScaleCrop>
  <LinksUpToDate>false</LinksUpToDate>
  <CharactersWithSpaces>4375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2020-06-25T02:08:00Z</dcterms:created>
  <dc:creator>LY</dc:creator>
  <cp:lastModifiedBy>LY</cp:lastModifiedBy>
  <cp:lastPrinted>2020-10-07T03:16:00Z</cp:lastPrinted>
  <dcterms:modified xsi:type="dcterms:W3CDTF">2020-10-22T07:42:19Z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