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0" w:name="supplementary-information"/>
    <w:p>
      <w:pPr>
        <w:pStyle w:val="Heading1"/>
      </w:pPr>
      <w:r>
        <w:t xml:space="preserve">Supplementary Information</w:t>
      </w:r>
    </w:p>
    <w:p>
      <w:pPr>
        <w:pStyle w:val="FirstParagraph"/>
      </w:pPr>
      <w:r>
        <w:rPr>
          <w:bCs/>
          <w:b/>
        </w:rPr>
        <w:t xml:space="preserve">Manuscript:</w:t>
      </w:r>
      <w:r>
        <w:t xml:space="preserve"> </w:t>
      </w:r>
      <w:r>
        <w:t xml:space="preserve">A Hybrid Graph Neural Network and Physiologically Based Pharmacokinetic Framework for Multi-Drug Concentration Prediction with Explainability and Uncertainty Quantification</w:t>
      </w:r>
    </w:p>
    <w:p>
      <w:pPr>
        <w:pStyle w:val="BodyText"/>
      </w:pPr>
      <w:r>
        <w:rPr>
          <w:bCs/>
          <w:b/>
        </w:rPr>
        <w:t xml:space="preserve">Authors:</w:t>
      </w:r>
      <w:r>
        <w:t xml:space="preserve"> </w:t>
      </w:r>
      <w:r>
        <w:t xml:space="preserve">Clayton Takayidza, Maronge Musara</w:t>
      </w:r>
    </w:p>
    <w:p>
      <w:pPr>
        <w:pStyle w:val="BodyText"/>
      </w:pPr>
      <w:r>
        <w:rPr>
          <w:bCs/>
          <w:b/>
        </w:rPr>
        <w:t xml:space="preserve">Corresponding author:</w:t>
      </w:r>
      <w:r>
        <w:t xml:space="preserve"> </w:t>
      </w:r>
      <w:r>
        <w:t xml:space="preserve">takayidzaclayton@gmail.com</w:t>
      </w:r>
    </w:p>
    <w:p>
      <w:pPr>
        <w:pStyle w:val="BodyText"/>
      </w:pPr>
      <w:r>
        <w:rPr>
          <w:bCs/>
          <w:b/>
        </w:rPr>
        <w:t xml:space="preserve">Code and data repository:</w:t>
      </w:r>
      <w:r>
        <w:t xml:space="preserve"> </w:t>
      </w:r>
      <w:r>
        <w:t xml:space="preserve">https://github.com/Clayton-code1/dl-pbpk-hybrid</w:t>
      </w:r>
    </w:p>
    <w:p>
      <w:r>
        <w:pict>
          <v:rect style="width:0;height:1.5pt" o:hralign="center" o:hrstd="t" o:hr="t"/>
        </w:pict>
      </w:r>
    </w:p>
    <w:bookmarkStart w:id="20" w:name="Xf8bffa8e9f5be9d2240961e7d32e2cdac56020a"/>
    <w:p>
      <w:pPr>
        <w:pStyle w:val="Heading2"/>
      </w:pPr>
      <w:r>
        <w:t xml:space="preserve">Supplementary Table S1 — Reference pharmacokinetic parameters by drug</w:t>
      </w:r>
    </w:p>
    <w:p>
      <w:pPr>
        <w:pStyle w:val="FirstParagraph"/>
      </w:pPr>
      <w:r>
        <w:t xml:space="preserve">The following table provides the literature-anchored reference PK parameters used to simulate training and evaluation cohorts for each of the seven drugs studied (six training drugs plus ibuprofen as the held-out external compound). Clearance (CL) and volume of distribution (Vd) are expressed per kilogram of body weight. Reference citations point to the published clinical PK studies from which each parameter set was derived.</w:t>
      </w:r>
    </w:p>
    <w:tbl>
      <w:tblPr>
        <w:tblStyle w:val="Table"/>
        <w:tblW w:type="pct" w:w="5000"/>
        <w:tblLook w:firstRow="1" w:lastRow="0" w:firstColumn="0" w:lastColumn="0" w:noHBand="0" w:noVBand="0" w:val="0020"/>
        <w:jc w:val="start"/>
      </w:tblPr>
      <w:tblGrid>
        <w:gridCol w:w="579"/>
        <w:gridCol w:w="772"/>
        <w:gridCol w:w="772"/>
        <w:gridCol w:w="772"/>
        <w:gridCol w:w="772"/>
        <w:gridCol w:w="772"/>
        <w:gridCol w:w="772"/>
        <w:gridCol w:w="772"/>
        <w:gridCol w:w="772"/>
        <w:gridCol w:w="579"/>
        <w:gridCol w:w="579"/>
      </w:tblGrid>
      <w:tr>
        <w:trPr>
          <w:tblHeader w:val="true"/>
        </w:trPr>
        <w:tc>
          <w:tcPr/>
          <w:p>
            <w:pPr>
              <w:pStyle w:val="Compact"/>
              <w:jc w:val="left"/>
            </w:pPr>
            <w:r>
              <w:t xml:space="preserve">Drug</w:t>
            </w:r>
          </w:p>
        </w:tc>
        <w:tc>
          <w:tcPr/>
          <w:p>
            <w:pPr>
              <w:pStyle w:val="Compact"/>
              <w:jc w:val="right"/>
            </w:pPr>
            <w:r>
              <w:t xml:space="preserve">MW (g/mol)</w:t>
            </w:r>
          </w:p>
        </w:tc>
        <w:tc>
          <w:tcPr/>
          <w:p>
            <w:pPr>
              <w:pStyle w:val="Compact"/>
              <w:jc w:val="right"/>
            </w:pPr>
            <w:r>
              <w:t xml:space="preserve">logP</w:t>
            </w:r>
          </w:p>
        </w:tc>
        <w:tc>
          <w:tcPr/>
          <w:p>
            <w:pPr>
              <w:pStyle w:val="Compact"/>
              <w:jc w:val="right"/>
            </w:pPr>
            <w:r>
              <w:t xml:space="preserve">CL (L/h/kg)</w:t>
            </w:r>
          </w:p>
        </w:tc>
        <w:tc>
          <w:tcPr/>
          <w:p>
            <w:pPr>
              <w:pStyle w:val="Compact"/>
              <w:jc w:val="right"/>
            </w:pPr>
            <w:r>
              <w:t xml:space="preserve">Vd (L/kg)</w:t>
            </w:r>
          </w:p>
        </w:tc>
        <w:tc>
          <w:tcPr/>
          <w:p>
            <w:pPr>
              <w:pStyle w:val="Compact"/>
              <w:jc w:val="right"/>
            </w:pPr>
            <w:r>
              <w:t xml:space="preserve">t½ (h)</w:t>
            </w:r>
          </w:p>
        </w:tc>
        <w:tc>
          <w:tcPr/>
          <w:p>
            <w:pPr>
              <w:pStyle w:val="Compact"/>
              <w:jc w:val="right"/>
            </w:pPr>
            <w:r>
              <w:t xml:space="preserve">F</w:t>
            </w:r>
          </w:p>
        </w:tc>
        <w:tc>
          <w:tcPr/>
          <w:p>
            <w:pPr>
              <w:pStyle w:val="Compact"/>
              <w:jc w:val="right"/>
            </w:pPr>
            <w:r>
              <w:t xml:space="preserve">C_max ref (mg/L)</w:t>
            </w:r>
          </w:p>
        </w:tc>
        <w:tc>
          <w:tcPr/>
          <w:p>
            <w:pPr>
              <w:pStyle w:val="Compact"/>
              <w:jc w:val="right"/>
            </w:pPr>
            <w:r>
              <w:t xml:space="preserve">AUC ref (mg·h/L)</w:t>
            </w:r>
          </w:p>
        </w:tc>
        <w:tc>
          <w:tcPr/>
          <w:p>
            <w:pPr>
              <w:pStyle w:val="Compact"/>
              <w:jc w:val="left"/>
            </w:pPr>
            <w:r>
              <w:t xml:space="preserve">Therapeutic range (mg/L)</w:t>
            </w:r>
          </w:p>
        </w:tc>
        <w:tc>
          <w:tcPr/>
          <w:p>
            <w:pPr>
              <w:pStyle w:val="Compact"/>
              <w:jc w:val="left"/>
            </w:pPr>
            <w:r>
              <w:t xml:space="preserve">Literature reference</w:t>
            </w:r>
          </w:p>
        </w:tc>
      </w:tr>
      <w:tr>
        <w:tc>
          <w:tcPr/>
          <w:p>
            <w:pPr>
              <w:pStyle w:val="Compact"/>
              <w:jc w:val="left"/>
            </w:pPr>
            <w:r>
              <w:t xml:space="preserve">Theophylline</w:t>
            </w:r>
          </w:p>
        </w:tc>
        <w:tc>
          <w:tcPr/>
          <w:p>
            <w:pPr>
              <w:pStyle w:val="Compact"/>
              <w:jc w:val="right"/>
            </w:pPr>
            <w:r>
              <w:t xml:space="preserve">180.16</w:t>
            </w:r>
          </w:p>
        </w:tc>
        <w:tc>
          <w:tcPr/>
          <w:p>
            <w:pPr>
              <w:pStyle w:val="Compact"/>
              <w:jc w:val="right"/>
            </w:pPr>
            <w:r>
              <w:t xml:space="preserve">−0.02</w:t>
            </w:r>
          </w:p>
        </w:tc>
        <w:tc>
          <w:tcPr/>
          <w:p>
            <w:pPr>
              <w:pStyle w:val="Compact"/>
              <w:jc w:val="right"/>
            </w:pPr>
            <w:r>
              <w:t xml:space="preserve">0.048</w:t>
            </w:r>
          </w:p>
        </w:tc>
        <w:tc>
          <w:tcPr/>
          <w:p>
            <w:pPr>
              <w:pStyle w:val="Compact"/>
              <w:jc w:val="right"/>
            </w:pPr>
            <w:r>
              <w:t xml:space="preserve">0.5</w:t>
            </w:r>
          </w:p>
        </w:tc>
        <w:tc>
          <w:tcPr/>
          <w:p>
            <w:pPr>
              <w:pStyle w:val="Compact"/>
              <w:jc w:val="right"/>
            </w:pPr>
            <w:r>
              <w:t xml:space="preserve">8.0</w:t>
            </w:r>
          </w:p>
        </w:tc>
        <w:tc>
          <w:tcPr/>
          <w:p>
            <w:pPr>
              <w:pStyle w:val="Compact"/>
              <w:jc w:val="right"/>
            </w:pPr>
            <w:r>
              <w:t xml:space="preserve">1.00</w:t>
            </w:r>
          </w:p>
        </w:tc>
        <w:tc>
          <w:tcPr/>
          <w:p>
            <w:pPr>
              <w:pStyle w:val="Compact"/>
              <w:jc w:val="right"/>
            </w:pPr>
            <w:r>
              <w:t xml:space="preserve">10.0</w:t>
            </w:r>
          </w:p>
        </w:tc>
        <w:tc>
          <w:tcPr/>
          <w:p>
            <w:pPr>
              <w:pStyle w:val="Compact"/>
              <w:jc w:val="right"/>
            </w:pPr>
            <w:r>
              <w:t xml:space="preserve">80.0</w:t>
            </w:r>
          </w:p>
        </w:tc>
        <w:tc>
          <w:tcPr/>
          <w:p>
            <w:pPr>
              <w:pStyle w:val="Compact"/>
              <w:jc w:val="left"/>
            </w:pPr>
            <w:r>
              <w:t xml:space="preserve">5.0–15.0</w:t>
            </w:r>
          </w:p>
        </w:tc>
        <w:tc>
          <w:tcPr/>
          <w:p>
            <w:pPr>
              <w:pStyle w:val="Compact"/>
              <w:jc w:val="left"/>
            </w:pPr>
            <w:r>
              <w:t xml:space="preserve">Hendeles &amp; Weinberger (1983) Pharmacotherapy 3:2–44</w:t>
            </w:r>
          </w:p>
        </w:tc>
      </w:tr>
      <w:tr>
        <w:tc>
          <w:tcPr/>
          <w:p>
            <w:pPr>
              <w:pStyle w:val="Compact"/>
              <w:jc w:val="left"/>
            </w:pPr>
            <w:r>
              <w:t xml:space="preserve">Warfarin</w:t>
            </w:r>
          </w:p>
        </w:tc>
        <w:tc>
          <w:tcPr/>
          <w:p>
            <w:pPr>
              <w:pStyle w:val="Compact"/>
              <w:jc w:val="right"/>
            </w:pPr>
            <w:r>
              <w:t xml:space="preserve">308.33</w:t>
            </w:r>
          </w:p>
        </w:tc>
        <w:tc>
          <w:tcPr/>
          <w:p>
            <w:pPr>
              <w:pStyle w:val="Compact"/>
              <w:jc w:val="right"/>
            </w:pPr>
            <w:r>
              <w:t xml:space="preserve">2.70</w:t>
            </w:r>
          </w:p>
        </w:tc>
        <w:tc>
          <w:tcPr/>
          <w:p>
            <w:pPr>
              <w:pStyle w:val="Compact"/>
              <w:jc w:val="right"/>
            </w:pPr>
            <w:r>
              <w:t xml:space="preserve">0.0022</w:t>
            </w:r>
          </w:p>
        </w:tc>
        <w:tc>
          <w:tcPr/>
          <w:p>
            <w:pPr>
              <w:pStyle w:val="Compact"/>
              <w:jc w:val="right"/>
            </w:pPr>
            <w:r>
              <w:t xml:space="preserve">0.14</w:t>
            </w:r>
          </w:p>
        </w:tc>
        <w:tc>
          <w:tcPr/>
          <w:p>
            <w:pPr>
              <w:pStyle w:val="Compact"/>
              <w:jc w:val="right"/>
            </w:pPr>
            <w:r>
              <w:t xml:space="preserve">40.0</w:t>
            </w:r>
          </w:p>
        </w:tc>
        <w:tc>
          <w:tcPr/>
          <w:p>
            <w:pPr>
              <w:pStyle w:val="Compact"/>
              <w:jc w:val="right"/>
            </w:pPr>
            <w:r>
              <w:t xml:space="preserve">0.99</w:t>
            </w:r>
          </w:p>
        </w:tc>
        <w:tc>
          <w:tcPr/>
          <w:p>
            <w:pPr>
              <w:pStyle w:val="Compact"/>
              <w:jc w:val="right"/>
            </w:pPr>
            <w:r>
              <w:t xml:space="preserve">2.5</w:t>
            </w:r>
          </w:p>
        </w:tc>
        <w:tc>
          <w:tcPr/>
          <w:p>
            <w:pPr>
              <w:pStyle w:val="Compact"/>
              <w:jc w:val="right"/>
            </w:pPr>
            <w:r>
              <w:t xml:space="preserve">100.0</w:t>
            </w:r>
          </w:p>
        </w:tc>
        <w:tc>
          <w:tcPr/>
          <w:p>
            <w:pPr>
              <w:pStyle w:val="Compact"/>
              <w:jc w:val="left"/>
            </w:pPr>
            <w:r>
              <w:t xml:space="preserve">0.5–3.0</w:t>
            </w:r>
          </w:p>
        </w:tc>
        <w:tc>
          <w:tcPr/>
          <w:p>
            <w:pPr>
              <w:pStyle w:val="Compact"/>
              <w:jc w:val="left"/>
            </w:pPr>
            <w:r>
              <w:t xml:space="preserve">Holford (1986) Clin Pharmacokinet 11:483–504</w:t>
            </w:r>
          </w:p>
        </w:tc>
      </w:tr>
      <w:tr>
        <w:tc>
          <w:tcPr/>
          <w:p>
            <w:pPr>
              <w:pStyle w:val="Compact"/>
              <w:jc w:val="left"/>
            </w:pPr>
            <w:r>
              <w:t xml:space="preserve">Midazolam</w:t>
            </w:r>
          </w:p>
        </w:tc>
        <w:tc>
          <w:tcPr/>
          <w:p>
            <w:pPr>
              <w:pStyle w:val="Compact"/>
              <w:jc w:val="right"/>
            </w:pPr>
            <w:r>
              <w:t xml:space="preserve">325.77</w:t>
            </w:r>
          </w:p>
        </w:tc>
        <w:tc>
          <w:tcPr/>
          <w:p>
            <w:pPr>
              <w:pStyle w:val="Compact"/>
              <w:jc w:val="right"/>
            </w:pPr>
            <w:r>
              <w:t xml:space="preserve">3.89</w:t>
            </w:r>
          </w:p>
        </w:tc>
        <w:tc>
          <w:tcPr/>
          <w:p>
            <w:pPr>
              <w:pStyle w:val="Compact"/>
              <w:jc w:val="right"/>
            </w:pPr>
            <w:r>
              <w:t xml:space="preserve">0.42</w:t>
            </w:r>
          </w:p>
        </w:tc>
        <w:tc>
          <w:tcPr/>
          <w:p>
            <w:pPr>
              <w:pStyle w:val="Compact"/>
              <w:jc w:val="right"/>
            </w:pPr>
            <w:r>
              <w:t xml:space="preserve">1.1</w:t>
            </w:r>
          </w:p>
        </w:tc>
        <w:tc>
          <w:tcPr/>
          <w:p>
            <w:pPr>
              <w:pStyle w:val="Compact"/>
              <w:jc w:val="right"/>
            </w:pPr>
            <w:r>
              <w:t xml:space="preserve">2.5</w:t>
            </w:r>
          </w:p>
        </w:tc>
        <w:tc>
          <w:tcPr/>
          <w:p>
            <w:pPr>
              <w:pStyle w:val="Compact"/>
              <w:jc w:val="right"/>
            </w:pPr>
            <w:r>
              <w:t xml:space="preserve">0.44</w:t>
            </w:r>
          </w:p>
        </w:tc>
        <w:tc>
          <w:tcPr/>
          <w:p>
            <w:pPr>
              <w:pStyle w:val="Compact"/>
              <w:jc w:val="right"/>
            </w:pPr>
            <w:r>
              <w:t xml:space="preserve">0.12</w:t>
            </w:r>
          </w:p>
        </w:tc>
        <w:tc>
          <w:tcPr/>
          <w:p>
            <w:pPr>
              <w:pStyle w:val="Compact"/>
              <w:jc w:val="right"/>
            </w:pPr>
            <w:r>
              <w:t xml:space="preserve">0.30</w:t>
            </w:r>
          </w:p>
        </w:tc>
        <w:tc>
          <w:tcPr/>
          <w:p>
            <w:pPr>
              <w:pStyle w:val="Compact"/>
              <w:jc w:val="left"/>
            </w:pPr>
            <w:r>
              <w:t xml:space="preserve">0.04–0.30</w:t>
            </w:r>
          </w:p>
        </w:tc>
        <w:tc>
          <w:tcPr/>
          <w:p>
            <w:pPr>
              <w:pStyle w:val="Compact"/>
              <w:jc w:val="left"/>
            </w:pPr>
            <w:r>
              <w:t xml:space="preserve">Smith, Eadie &amp; Brophy (1981) Eur J Clin Pharmacol 19:271–278</w:t>
            </w:r>
          </w:p>
        </w:tc>
      </w:tr>
      <w:tr>
        <w:tc>
          <w:tcPr/>
          <w:p>
            <w:pPr>
              <w:pStyle w:val="Compact"/>
              <w:jc w:val="left"/>
            </w:pPr>
            <w:r>
              <w:t xml:space="preserve">Caffeine</w:t>
            </w:r>
          </w:p>
        </w:tc>
        <w:tc>
          <w:tcPr/>
          <w:p>
            <w:pPr>
              <w:pStyle w:val="Compact"/>
              <w:jc w:val="right"/>
            </w:pPr>
            <w:r>
              <w:t xml:space="preserve">194.19</w:t>
            </w:r>
          </w:p>
        </w:tc>
        <w:tc>
          <w:tcPr/>
          <w:p>
            <w:pPr>
              <w:pStyle w:val="Compact"/>
              <w:jc w:val="right"/>
            </w:pPr>
            <w:r>
              <w:t xml:space="preserve">−0.07</w:t>
            </w:r>
          </w:p>
        </w:tc>
        <w:tc>
          <w:tcPr/>
          <w:p>
            <w:pPr>
              <w:pStyle w:val="Compact"/>
              <w:jc w:val="right"/>
            </w:pPr>
            <w:r>
              <w:t xml:space="preserve">0.078</w:t>
            </w:r>
          </w:p>
        </w:tc>
        <w:tc>
          <w:tcPr/>
          <w:p>
            <w:pPr>
              <w:pStyle w:val="Compact"/>
              <w:jc w:val="right"/>
            </w:pPr>
            <w:r>
              <w:t xml:space="preserve">0.6</w:t>
            </w:r>
          </w:p>
        </w:tc>
        <w:tc>
          <w:tcPr/>
          <w:p>
            <w:pPr>
              <w:pStyle w:val="Compact"/>
              <w:jc w:val="right"/>
            </w:pPr>
            <w:r>
              <w:t xml:space="preserve">5.0</w:t>
            </w:r>
          </w:p>
        </w:tc>
        <w:tc>
          <w:tcPr/>
          <w:p>
            <w:pPr>
              <w:pStyle w:val="Compact"/>
              <w:jc w:val="right"/>
            </w:pPr>
            <w:r>
              <w:t xml:space="preserve">1.00</w:t>
            </w:r>
          </w:p>
        </w:tc>
        <w:tc>
          <w:tcPr/>
          <w:p>
            <w:pPr>
              <w:pStyle w:val="Compact"/>
              <w:jc w:val="right"/>
            </w:pPr>
            <w:r>
              <w:t xml:space="preserve">8.0</w:t>
            </w:r>
          </w:p>
        </w:tc>
        <w:tc>
          <w:tcPr/>
          <w:p>
            <w:pPr>
              <w:pStyle w:val="Compact"/>
              <w:jc w:val="right"/>
            </w:pPr>
            <w:r>
              <w:t xml:space="preserve">40.0</w:t>
            </w:r>
          </w:p>
        </w:tc>
        <w:tc>
          <w:tcPr/>
          <w:p>
            <w:pPr>
              <w:pStyle w:val="Compact"/>
              <w:jc w:val="left"/>
            </w:pPr>
            <w:r>
              <w:t xml:space="preserve">5.0–20.0</w:t>
            </w:r>
          </w:p>
        </w:tc>
        <w:tc>
          <w:tcPr/>
          <w:p>
            <w:pPr>
              <w:pStyle w:val="Compact"/>
              <w:jc w:val="left"/>
            </w:pPr>
            <w:r>
              <w:t xml:space="preserve">Arnaud (1993) in</w:t>
            </w:r>
            <w:r>
              <w:t xml:space="preserve"> </w:t>
            </w:r>
            <w:r>
              <w:rPr>
                <w:iCs/>
                <w:i/>
              </w:rPr>
              <w:t xml:space="preserve">Caffeine, Coffee, and Health</w:t>
            </w:r>
            <w:r>
              <w:t xml:space="preserve"> </w:t>
            </w:r>
            <w:r>
              <w:t xml:space="preserve">(Garattini, ed.) Raven Press, 43–95</w:t>
            </w:r>
          </w:p>
        </w:tc>
      </w:tr>
      <w:tr>
        <w:tc>
          <w:tcPr/>
          <w:p>
            <w:pPr>
              <w:pStyle w:val="Compact"/>
              <w:jc w:val="left"/>
            </w:pPr>
            <w:r>
              <w:t xml:space="preserve">Acetaminophen</w:t>
            </w:r>
          </w:p>
        </w:tc>
        <w:tc>
          <w:tcPr/>
          <w:p>
            <w:pPr>
              <w:pStyle w:val="Compact"/>
              <w:jc w:val="right"/>
            </w:pPr>
            <w:r>
              <w:t xml:space="preserve">151.16</w:t>
            </w:r>
          </w:p>
        </w:tc>
        <w:tc>
          <w:tcPr/>
          <w:p>
            <w:pPr>
              <w:pStyle w:val="Compact"/>
              <w:jc w:val="right"/>
            </w:pPr>
            <w:r>
              <w:t xml:space="preserve">0.49</w:t>
            </w:r>
          </w:p>
        </w:tc>
        <w:tc>
          <w:tcPr/>
          <w:p>
            <w:pPr>
              <w:pStyle w:val="Compact"/>
              <w:jc w:val="right"/>
            </w:pPr>
            <w:r>
              <w:t xml:space="preserve">0.30</w:t>
            </w:r>
          </w:p>
        </w:tc>
        <w:tc>
          <w:tcPr/>
          <w:p>
            <w:pPr>
              <w:pStyle w:val="Compact"/>
              <w:jc w:val="right"/>
            </w:pPr>
            <w:r>
              <w:t xml:space="preserve">0.95</w:t>
            </w:r>
          </w:p>
        </w:tc>
        <w:tc>
          <w:tcPr/>
          <w:p>
            <w:pPr>
              <w:pStyle w:val="Compact"/>
              <w:jc w:val="right"/>
            </w:pPr>
            <w:r>
              <w:t xml:space="preserve">2.0</w:t>
            </w:r>
          </w:p>
        </w:tc>
        <w:tc>
          <w:tcPr/>
          <w:p>
            <w:pPr>
              <w:pStyle w:val="Compact"/>
              <w:jc w:val="right"/>
            </w:pPr>
            <w:r>
              <w:t xml:space="preserve">0.85</w:t>
            </w:r>
          </w:p>
        </w:tc>
        <w:tc>
          <w:tcPr/>
          <w:p>
            <w:pPr>
              <w:pStyle w:val="Compact"/>
              <w:jc w:val="right"/>
            </w:pPr>
            <w:r>
              <w:t xml:space="preserve">15.0</w:t>
            </w:r>
          </w:p>
        </w:tc>
        <w:tc>
          <w:tcPr/>
          <w:p>
            <w:pPr>
              <w:pStyle w:val="Compact"/>
              <w:jc w:val="right"/>
            </w:pPr>
            <w:r>
              <w:t xml:space="preserve">30.0</w:t>
            </w:r>
          </w:p>
        </w:tc>
        <w:tc>
          <w:tcPr/>
          <w:p>
            <w:pPr>
              <w:pStyle w:val="Compact"/>
              <w:jc w:val="left"/>
            </w:pPr>
            <w:r>
              <w:t xml:space="preserve">5.0–20.0</w:t>
            </w:r>
          </w:p>
        </w:tc>
        <w:tc>
          <w:tcPr/>
          <w:p>
            <w:pPr>
              <w:pStyle w:val="Compact"/>
              <w:jc w:val="left"/>
            </w:pPr>
            <w:r>
              <w:t xml:space="preserve">Prescott (1980) Br J Clin Pharmacol 10:291S–298S</w:t>
            </w:r>
          </w:p>
        </w:tc>
      </w:tr>
      <w:tr>
        <w:tc>
          <w:tcPr/>
          <w:p>
            <w:pPr>
              <w:pStyle w:val="Compact"/>
              <w:jc w:val="left"/>
            </w:pPr>
            <w:r>
              <w:t xml:space="preserve">Digoxin</w:t>
            </w:r>
          </w:p>
        </w:tc>
        <w:tc>
          <w:tcPr/>
          <w:p>
            <w:pPr>
              <w:pStyle w:val="Compact"/>
              <w:jc w:val="right"/>
            </w:pPr>
            <w:r>
              <w:t xml:space="preserve">780.94</w:t>
            </w:r>
          </w:p>
        </w:tc>
        <w:tc>
          <w:tcPr/>
          <w:p>
            <w:pPr>
              <w:pStyle w:val="Compact"/>
              <w:jc w:val="right"/>
            </w:pPr>
            <w:r>
              <w:t xml:space="preserve">1.26</w:t>
            </w:r>
          </w:p>
        </w:tc>
        <w:tc>
          <w:tcPr/>
          <w:p>
            <w:pPr>
              <w:pStyle w:val="Compact"/>
              <w:jc w:val="right"/>
            </w:pPr>
            <w:r>
              <w:t xml:space="preserve">0.12</w:t>
            </w:r>
          </w:p>
        </w:tc>
        <w:tc>
          <w:tcPr/>
          <w:p>
            <w:pPr>
              <w:pStyle w:val="Compact"/>
              <w:jc w:val="right"/>
            </w:pPr>
            <w:r>
              <w:t xml:space="preserve">7.3</w:t>
            </w:r>
          </w:p>
        </w:tc>
        <w:tc>
          <w:tcPr/>
          <w:p>
            <w:pPr>
              <w:pStyle w:val="Compact"/>
              <w:jc w:val="right"/>
            </w:pPr>
            <w:r>
              <w:t xml:space="preserve">39.0</w:t>
            </w:r>
          </w:p>
        </w:tc>
        <w:tc>
          <w:tcPr/>
          <w:p>
            <w:pPr>
              <w:pStyle w:val="Compact"/>
              <w:jc w:val="right"/>
            </w:pPr>
            <w:r>
              <w:t xml:space="preserve">0.70</w:t>
            </w:r>
          </w:p>
        </w:tc>
        <w:tc>
          <w:tcPr/>
          <w:p>
            <w:pPr>
              <w:pStyle w:val="Compact"/>
              <w:jc w:val="right"/>
            </w:pPr>
            <w:r>
              <w:t xml:space="preserve">0.0020</w:t>
            </w:r>
          </w:p>
        </w:tc>
        <w:tc>
          <w:tcPr/>
          <w:p>
            <w:pPr>
              <w:pStyle w:val="Compact"/>
              <w:jc w:val="right"/>
            </w:pPr>
            <w:r>
              <w:t xml:space="preserve">0.015</w:t>
            </w:r>
          </w:p>
        </w:tc>
        <w:tc>
          <w:tcPr/>
          <w:p>
            <w:pPr>
              <w:pStyle w:val="Compact"/>
              <w:jc w:val="left"/>
            </w:pPr>
            <w:r>
              <w:t xml:space="preserve">0.0005–0.0020</w:t>
            </w:r>
          </w:p>
        </w:tc>
        <w:tc>
          <w:tcPr/>
          <w:p>
            <w:pPr>
              <w:pStyle w:val="Compact"/>
              <w:jc w:val="left"/>
            </w:pPr>
            <w:r>
              <w:t xml:space="preserve">Reuning, Sams &amp; Notari (1973) J Clin Pharmacol 13:127–141</w:t>
            </w:r>
          </w:p>
        </w:tc>
      </w:tr>
      <w:tr>
        <w:tc>
          <w:tcPr/>
          <w:p>
            <w:pPr>
              <w:pStyle w:val="Compact"/>
              <w:jc w:val="left"/>
            </w:pPr>
            <w:r>
              <w:t xml:space="preserve">Ibuprofen (external)</w:t>
            </w:r>
          </w:p>
        </w:tc>
        <w:tc>
          <w:tcPr/>
          <w:p>
            <w:pPr>
              <w:pStyle w:val="Compact"/>
              <w:jc w:val="right"/>
            </w:pPr>
            <w:r>
              <w:t xml:space="preserve">206.28</w:t>
            </w:r>
          </w:p>
        </w:tc>
        <w:tc>
          <w:tcPr/>
          <w:p>
            <w:pPr>
              <w:pStyle w:val="Compact"/>
              <w:jc w:val="right"/>
            </w:pPr>
            <w:r>
              <w:t xml:space="preserve">3.97</w:t>
            </w:r>
          </w:p>
        </w:tc>
        <w:tc>
          <w:tcPr/>
          <w:p>
            <w:pPr>
              <w:pStyle w:val="Compact"/>
              <w:jc w:val="right"/>
            </w:pPr>
            <w:r>
              <w:t xml:space="preserve">0.035</w:t>
            </w:r>
          </w:p>
        </w:tc>
        <w:tc>
          <w:tcPr/>
          <w:p>
            <w:pPr>
              <w:pStyle w:val="Compact"/>
              <w:jc w:val="right"/>
            </w:pPr>
            <w:r>
              <w:t xml:space="preserve">0.15</w:t>
            </w:r>
          </w:p>
        </w:tc>
        <w:tc>
          <w:tcPr/>
          <w:p>
            <w:pPr>
              <w:pStyle w:val="Compact"/>
              <w:jc w:val="right"/>
            </w:pPr>
            <w:r>
              <w:t xml:space="preserve">2.0</w:t>
            </w:r>
          </w:p>
        </w:tc>
        <w:tc>
          <w:tcPr/>
          <w:p>
            <w:pPr>
              <w:pStyle w:val="Compact"/>
              <w:jc w:val="right"/>
            </w:pPr>
            <w:r>
              <w:t xml:space="preserve">1.00</w:t>
            </w:r>
          </w:p>
        </w:tc>
        <w:tc>
          <w:tcPr/>
          <w:p>
            <w:pPr>
              <w:pStyle w:val="Compact"/>
              <w:jc w:val="right"/>
            </w:pPr>
            <w:r>
              <w:t xml:space="preserve">45.0</w:t>
            </w:r>
          </w:p>
        </w:tc>
        <w:tc>
          <w:tcPr/>
          <w:p>
            <w:pPr>
              <w:pStyle w:val="Compact"/>
              <w:jc w:val="right"/>
            </w:pPr>
            <w:r>
              <w:t xml:space="preserve">90.0</w:t>
            </w:r>
          </w:p>
        </w:tc>
        <w:tc>
          <w:tcPr/>
          <w:p>
            <w:pPr>
              <w:pStyle w:val="Compact"/>
              <w:jc w:val="left"/>
            </w:pPr>
            <w:r>
              <w:t xml:space="preserve">10.0–50.0</w:t>
            </w:r>
          </w:p>
        </w:tc>
        <w:tc>
          <w:tcPr/>
          <w:p>
            <w:pPr>
              <w:pStyle w:val="Compact"/>
              <w:jc w:val="left"/>
            </w:pPr>
            <w:r>
              <w:t xml:space="preserve">Lockwood et al. (1983) Clin Pharmacol Ther 34:97–103</w:t>
            </w:r>
          </w:p>
        </w:tc>
      </w:tr>
    </w:tbl>
    <w:p>
      <w:pPr>
        <w:pStyle w:val="BodyText"/>
      </w:pPr>
      <w:r>
        <w:t xml:space="preserve">SMILES strings for each drug are provided in the project source at</w:t>
      </w:r>
      <w:r>
        <w:t xml:space="preserve"> </w:t>
      </w:r>
      <w:r>
        <w:rPr>
          <w:rStyle w:val="VerbatimChar"/>
        </w:rPr>
        <w:t xml:space="preserve">experiments/reference_pk.py</w:t>
      </w:r>
      <w:r>
        <w:t xml:space="preserve"> </w:t>
      </w:r>
      <w:r>
        <w:t xml:space="preserve">(variable</w:t>
      </w:r>
      <w:r>
        <w:t xml:space="preserve"> </w:t>
      </w:r>
      <w:r>
        <w:rPr>
          <w:rStyle w:val="VerbatimChar"/>
        </w:rPr>
        <w:t xml:space="preserve">REFERENCE_PK_DATA</w:t>
      </w:r>
      <w:r>
        <w:t xml:space="preserve">). C_max and AUC values are population-mean reference exposures at standard adult dosing and served as auxiliary supervision targets during training, not as fixed labels. Therapeutic ranges were used in the safety classification module and reflect population literature bands, not individualised targets.</w:t>
      </w:r>
    </w:p>
    <w:p>
      <w:r>
        <w:pict>
          <v:rect style="width:0;height:1.5pt" o:hralign="center" o:hrstd="t" o:hr="t"/>
        </w:pict>
      </w:r>
    </w:p>
    <w:bookmarkEnd w:id="20"/>
    <w:bookmarkStart w:id="21" w:name="Xe3dca7bc3c30ebb734696acae051da8efd2c7de"/>
    <w:p>
      <w:pPr>
        <w:pStyle w:val="Heading2"/>
      </w:pPr>
      <w:r>
        <w:t xml:space="preserve">Supplementary Section S2 — Per-drug training configuration</w:t>
      </w:r>
    </w:p>
    <w:p>
      <w:pPr>
        <w:pStyle w:val="FirstParagraph"/>
      </w:pPr>
      <w:r>
        <w:t xml:space="preserve">The table below summarises the per-drug freeze schedule, learning rates, loss weightings, and simulation variability used for hybrid model training. Other hyperparameters (Adam optimisation, weight decay 10⁻⁵, gradient clipping at norm 5.0, batch size 16, SEED = 42) are shared across all drugs.</w:t>
      </w:r>
    </w:p>
    <w:tbl>
      <w:tblPr>
        <w:tblStyle w:val="Table"/>
        <w:tblW w:type="pct" w:w="5000"/>
        <w:tblLook w:firstRow="1" w:lastRow="0" w:firstColumn="0" w:lastColumn="0" w:noHBand="0" w:noVBand="0" w:val="0020"/>
        <w:jc w:val="start"/>
      </w:tblPr>
      <w:tblGrid>
        <w:gridCol w:w="698"/>
        <w:gridCol w:w="931"/>
        <w:gridCol w:w="931"/>
        <w:gridCol w:w="931"/>
        <w:gridCol w:w="931"/>
        <w:gridCol w:w="931"/>
        <w:gridCol w:w="931"/>
        <w:gridCol w:w="931"/>
        <w:gridCol w:w="698"/>
      </w:tblGrid>
      <w:tr>
        <w:trPr>
          <w:tblHeader w:val="true"/>
        </w:trPr>
        <w:tc>
          <w:tcPr/>
          <w:p>
            <w:pPr>
              <w:pStyle w:val="Compact"/>
              <w:jc w:val="left"/>
            </w:pPr>
            <w:r>
              <w:t xml:space="preserve">Drug</w:t>
            </w:r>
          </w:p>
        </w:tc>
        <w:tc>
          <w:tcPr/>
          <w:p>
            <w:pPr>
              <w:pStyle w:val="Compact"/>
              <w:jc w:val="right"/>
            </w:pPr>
            <w:r>
              <w:t xml:space="preserve">Freeze epochs (encoder)</w:t>
            </w:r>
          </w:p>
        </w:tc>
        <w:tc>
          <w:tcPr/>
          <w:p>
            <w:pPr>
              <w:pStyle w:val="Compact"/>
              <w:jc w:val="right"/>
            </w:pPr>
            <w:r>
              <w:t xml:space="preserve">LR (head phase)</w:t>
            </w:r>
          </w:p>
        </w:tc>
        <w:tc>
          <w:tcPr/>
          <w:p>
            <w:pPr>
              <w:pStyle w:val="Compact"/>
              <w:jc w:val="right"/>
            </w:pPr>
            <w:r>
              <w:t xml:space="preserve">LR (after unfreeze)</w:t>
            </w:r>
          </w:p>
        </w:tc>
        <w:tc>
          <w:tcPr/>
          <w:p>
            <w:pPr>
              <w:pStyle w:val="Compact"/>
              <w:jc w:val="right"/>
            </w:pPr>
            <w:r>
              <w:t xml:space="preserve">Max epochs</w:t>
            </w:r>
          </w:p>
        </w:tc>
        <w:tc>
          <w:tcPr/>
          <w:p>
            <w:pPr>
              <w:pStyle w:val="Compact"/>
              <w:jc w:val="right"/>
            </w:pPr>
            <w:r>
              <w:t xml:space="preserve">Early-stopping patience</w:t>
            </w:r>
          </w:p>
        </w:tc>
        <w:tc>
          <w:tcPr/>
          <w:p>
            <w:pPr>
              <w:pStyle w:val="Compact"/>
              <w:jc w:val="right"/>
            </w:pPr>
            <w:r>
              <w:t xml:space="preserve">λ_pk (PK supervision)</w:t>
            </w:r>
          </w:p>
        </w:tc>
        <w:tc>
          <w:tcPr/>
          <w:p>
            <w:pPr>
              <w:pStyle w:val="Compact"/>
              <w:jc w:val="right"/>
            </w:pPr>
            <w:r>
              <w:t xml:space="preserve">Simulation IIV CV (CL &amp; Vd)</w:t>
            </w:r>
          </w:p>
        </w:tc>
        <w:tc>
          <w:tcPr/>
          <w:p>
            <w:pPr>
              <w:pStyle w:val="Compact"/>
              <w:jc w:val="left"/>
            </w:pPr>
            <w:r>
              <w:t xml:space="preserve">Additional patient features</w:t>
            </w:r>
          </w:p>
        </w:tc>
      </w:tr>
      <w:tr>
        <w:tc>
          <w:tcPr/>
          <w:p>
            <w:pPr>
              <w:pStyle w:val="Compact"/>
              <w:jc w:val="left"/>
            </w:pPr>
            <w:r>
              <w:t xml:space="preserve">Theophylline</w:t>
            </w:r>
          </w:p>
        </w:tc>
        <w:tc>
          <w:tcPr/>
          <w:p>
            <w:pPr>
              <w:pStyle w:val="Compact"/>
              <w:jc w:val="right"/>
            </w:pPr>
            <w:r>
              <w:t xml:space="preserve">5</w:t>
            </w:r>
          </w:p>
        </w:tc>
        <w:tc>
          <w:tcPr/>
          <w:p>
            <w:pPr>
              <w:pStyle w:val="Compact"/>
              <w:jc w:val="right"/>
            </w:pPr>
            <w:r>
              <w:t xml:space="preserve">5×10⁻³</w:t>
            </w:r>
          </w:p>
        </w:tc>
        <w:tc>
          <w:tcPr/>
          <w:p>
            <w:pPr>
              <w:pStyle w:val="Compact"/>
              <w:jc w:val="right"/>
            </w:pPr>
            <w:r>
              <w:t xml:space="preserve">1×10⁻³</w:t>
            </w:r>
          </w:p>
        </w:tc>
        <w:tc>
          <w:tcPr/>
          <w:p>
            <w:pPr>
              <w:pStyle w:val="Compact"/>
              <w:jc w:val="right"/>
            </w:pPr>
            <w:r>
              <w:t xml:space="preserve">100</w:t>
            </w:r>
          </w:p>
        </w:tc>
        <w:tc>
          <w:tcPr/>
          <w:p>
            <w:pPr>
              <w:pStyle w:val="Compact"/>
              <w:jc w:val="right"/>
            </w:pPr>
            <w:r>
              <w:t xml:space="preserve">15</w:t>
            </w:r>
          </w:p>
        </w:tc>
        <w:tc>
          <w:tcPr/>
          <w:p>
            <w:pPr>
              <w:pStyle w:val="Compact"/>
              <w:jc w:val="right"/>
            </w:pPr>
            <w:r>
              <w:t xml:space="preserve">0.12</w:t>
            </w:r>
          </w:p>
        </w:tc>
        <w:tc>
          <w:tcPr/>
          <w:p>
            <w:pPr>
              <w:pStyle w:val="Compact"/>
              <w:jc w:val="right"/>
            </w:pPr>
            <w:r>
              <w:t xml:space="preserve">0.30</w:t>
            </w:r>
          </w:p>
        </w:tc>
        <w:tc>
          <w:tcPr/>
          <w:p>
            <w:pPr>
              <w:pStyle w:val="Compact"/>
              <w:jc w:val="left"/>
            </w:pPr>
            <w:r>
              <w:t xml:space="preserve">Standard</w:t>
            </w:r>
          </w:p>
        </w:tc>
      </w:tr>
      <w:tr>
        <w:tc>
          <w:tcPr/>
          <w:p>
            <w:pPr>
              <w:pStyle w:val="Compact"/>
              <w:jc w:val="left"/>
            </w:pPr>
            <w:r>
              <w:t xml:space="preserve">Warfarin</w:t>
            </w:r>
          </w:p>
        </w:tc>
        <w:tc>
          <w:tcPr/>
          <w:p>
            <w:pPr>
              <w:pStyle w:val="Compact"/>
              <w:jc w:val="right"/>
            </w:pPr>
            <w:r>
              <w:t xml:space="preserve">40</w:t>
            </w:r>
          </w:p>
        </w:tc>
        <w:tc>
          <w:tcPr/>
          <w:p>
            <w:pPr>
              <w:pStyle w:val="Compact"/>
              <w:jc w:val="right"/>
            </w:pPr>
            <w:r>
              <w:t xml:space="preserve">5×10⁻³</w:t>
            </w:r>
          </w:p>
        </w:tc>
        <w:tc>
          <w:tcPr/>
          <w:p>
            <w:pPr>
              <w:pStyle w:val="Compact"/>
              <w:jc w:val="right"/>
            </w:pPr>
            <w:r>
              <w:t xml:space="preserve">2.5×10⁻⁵</w:t>
            </w:r>
          </w:p>
        </w:tc>
        <w:tc>
          <w:tcPr/>
          <w:p>
            <w:pPr>
              <w:pStyle w:val="Compact"/>
              <w:jc w:val="right"/>
            </w:pPr>
            <w:r>
              <w:t xml:space="preserve">160</w:t>
            </w:r>
          </w:p>
        </w:tc>
        <w:tc>
          <w:tcPr/>
          <w:p>
            <w:pPr>
              <w:pStyle w:val="Compact"/>
              <w:jc w:val="right"/>
            </w:pPr>
            <w:r>
              <w:t xml:space="preserve">25</w:t>
            </w:r>
          </w:p>
        </w:tc>
        <w:tc>
          <w:tcPr/>
          <w:p>
            <w:pPr>
              <w:pStyle w:val="Compact"/>
              <w:jc w:val="right"/>
            </w:pPr>
            <w:r>
              <w:t xml:space="preserve">0.72</w:t>
            </w:r>
          </w:p>
        </w:tc>
        <w:tc>
          <w:tcPr/>
          <w:p>
            <w:pPr>
              <w:pStyle w:val="Compact"/>
              <w:jc w:val="right"/>
            </w:pPr>
            <w:r>
              <w:t xml:space="preserve">0.20</w:t>
            </w:r>
          </w:p>
        </w:tc>
        <w:tc>
          <w:tcPr/>
          <w:p>
            <w:pPr>
              <w:pStyle w:val="Compact"/>
              <w:jc w:val="left"/>
            </w:pPr>
            <w:r>
              <w:t xml:space="preserve">Standard</w:t>
            </w:r>
          </w:p>
        </w:tc>
      </w:tr>
      <w:tr>
        <w:tc>
          <w:tcPr/>
          <w:p>
            <w:pPr>
              <w:pStyle w:val="Compact"/>
              <w:jc w:val="left"/>
            </w:pPr>
            <w:r>
              <w:t xml:space="preserve">Midazolam</w:t>
            </w:r>
          </w:p>
        </w:tc>
        <w:tc>
          <w:tcPr/>
          <w:p>
            <w:pPr>
              <w:pStyle w:val="Compact"/>
              <w:jc w:val="right"/>
            </w:pPr>
            <w:r>
              <w:t xml:space="preserve">5</w:t>
            </w:r>
          </w:p>
        </w:tc>
        <w:tc>
          <w:tcPr/>
          <w:p>
            <w:pPr>
              <w:pStyle w:val="Compact"/>
              <w:jc w:val="right"/>
            </w:pPr>
            <w:r>
              <w:t xml:space="preserve">5×10⁻³</w:t>
            </w:r>
          </w:p>
        </w:tc>
        <w:tc>
          <w:tcPr/>
          <w:p>
            <w:pPr>
              <w:pStyle w:val="Compact"/>
              <w:jc w:val="right"/>
            </w:pPr>
            <w:r>
              <w:t xml:space="preserve">1×10⁻³</w:t>
            </w:r>
          </w:p>
        </w:tc>
        <w:tc>
          <w:tcPr/>
          <w:p>
            <w:pPr>
              <w:pStyle w:val="Compact"/>
              <w:jc w:val="right"/>
            </w:pPr>
            <w:r>
              <w:t xml:space="preserve">100</w:t>
            </w:r>
          </w:p>
        </w:tc>
        <w:tc>
          <w:tcPr/>
          <w:p>
            <w:pPr>
              <w:pStyle w:val="Compact"/>
              <w:jc w:val="right"/>
            </w:pPr>
            <w:r>
              <w:t xml:space="preserve">15</w:t>
            </w:r>
          </w:p>
        </w:tc>
        <w:tc>
          <w:tcPr/>
          <w:p>
            <w:pPr>
              <w:pStyle w:val="Compact"/>
              <w:jc w:val="right"/>
            </w:pPr>
            <w:r>
              <w:t xml:space="preserve">0.12</w:t>
            </w:r>
          </w:p>
        </w:tc>
        <w:tc>
          <w:tcPr/>
          <w:p>
            <w:pPr>
              <w:pStyle w:val="Compact"/>
              <w:jc w:val="right"/>
            </w:pPr>
            <w:r>
              <w:t xml:space="preserve">0.30</w:t>
            </w:r>
          </w:p>
        </w:tc>
        <w:tc>
          <w:tcPr/>
          <w:p>
            <w:pPr>
              <w:pStyle w:val="Compact"/>
              <w:jc w:val="left"/>
            </w:pPr>
            <w:r>
              <w:t xml:space="preserve">Standard</w:t>
            </w:r>
          </w:p>
        </w:tc>
      </w:tr>
      <w:tr>
        <w:tc>
          <w:tcPr/>
          <w:p>
            <w:pPr>
              <w:pStyle w:val="Compact"/>
              <w:jc w:val="left"/>
            </w:pPr>
            <w:r>
              <w:t xml:space="preserve">Caffeine</w:t>
            </w:r>
          </w:p>
        </w:tc>
        <w:tc>
          <w:tcPr/>
          <w:p>
            <w:pPr>
              <w:pStyle w:val="Compact"/>
              <w:jc w:val="right"/>
            </w:pPr>
            <w:r>
              <w:t xml:space="preserve">5</w:t>
            </w:r>
          </w:p>
        </w:tc>
        <w:tc>
          <w:tcPr/>
          <w:p>
            <w:pPr>
              <w:pStyle w:val="Compact"/>
              <w:jc w:val="right"/>
            </w:pPr>
            <w:r>
              <w:t xml:space="preserve">5×10⁻³</w:t>
            </w:r>
          </w:p>
        </w:tc>
        <w:tc>
          <w:tcPr/>
          <w:p>
            <w:pPr>
              <w:pStyle w:val="Compact"/>
              <w:jc w:val="right"/>
            </w:pPr>
            <w:r>
              <w:t xml:space="preserve">1×10⁻³</w:t>
            </w:r>
          </w:p>
        </w:tc>
        <w:tc>
          <w:tcPr/>
          <w:p>
            <w:pPr>
              <w:pStyle w:val="Compact"/>
              <w:jc w:val="right"/>
            </w:pPr>
            <w:r>
              <w:t xml:space="preserve">100</w:t>
            </w:r>
          </w:p>
        </w:tc>
        <w:tc>
          <w:tcPr/>
          <w:p>
            <w:pPr>
              <w:pStyle w:val="Compact"/>
              <w:jc w:val="right"/>
            </w:pPr>
            <w:r>
              <w:t xml:space="preserve">15</w:t>
            </w:r>
          </w:p>
        </w:tc>
        <w:tc>
          <w:tcPr/>
          <w:p>
            <w:pPr>
              <w:pStyle w:val="Compact"/>
              <w:jc w:val="right"/>
            </w:pPr>
            <w:r>
              <w:t xml:space="preserve">0.28</w:t>
            </w:r>
          </w:p>
        </w:tc>
        <w:tc>
          <w:tcPr/>
          <w:p>
            <w:pPr>
              <w:pStyle w:val="Compact"/>
              <w:jc w:val="right"/>
            </w:pPr>
            <w:r>
              <w:t xml:space="preserve">0.20</w:t>
            </w:r>
          </w:p>
        </w:tc>
        <w:tc>
          <w:tcPr/>
          <w:p>
            <w:pPr>
              <w:pStyle w:val="Compact"/>
              <w:jc w:val="left"/>
            </w:pPr>
            <w:r>
              <w:t xml:space="preserve">Standard</w:t>
            </w:r>
          </w:p>
        </w:tc>
      </w:tr>
      <w:tr>
        <w:tc>
          <w:tcPr/>
          <w:p>
            <w:pPr>
              <w:pStyle w:val="Compact"/>
              <w:jc w:val="left"/>
            </w:pPr>
            <w:r>
              <w:t xml:space="preserve">Acetaminophen</w:t>
            </w:r>
          </w:p>
        </w:tc>
        <w:tc>
          <w:tcPr/>
          <w:p>
            <w:pPr>
              <w:pStyle w:val="Compact"/>
              <w:jc w:val="right"/>
            </w:pPr>
            <w:r>
              <w:t xml:space="preserve">5</w:t>
            </w:r>
          </w:p>
        </w:tc>
        <w:tc>
          <w:tcPr/>
          <w:p>
            <w:pPr>
              <w:pStyle w:val="Compact"/>
              <w:jc w:val="right"/>
            </w:pPr>
            <w:r>
              <w:t xml:space="preserve">5×10⁻³</w:t>
            </w:r>
          </w:p>
        </w:tc>
        <w:tc>
          <w:tcPr/>
          <w:p>
            <w:pPr>
              <w:pStyle w:val="Compact"/>
              <w:jc w:val="right"/>
            </w:pPr>
            <w:r>
              <w:t xml:space="preserve">1×10⁻³</w:t>
            </w:r>
          </w:p>
        </w:tc>
        <w:tc>
          <w:tcPr/>
          <w:p>
            <w:pPr>
              <w:pStyle w:val="Compact"/>
              <w:jc w:val="right"/>
            </w:pPr>
            <w:r>
              <w:t xml:space="preserve">100</w:t>
            </w:r>
          </w:p>
        </w:tc>
        <w:tc>
          <w:tcPr/>
          <w:p>
            <w:pPr>
              <w:pStyle w:val="Compact"/>
              <w:jc w:val="right"/>
            </w:pPr>
            <w:r>
              <w:t xml:space="preserve">15</w:t>
            </w:r>
          </w:p>
        </w:tc>
        <w:tc>
          <w:tcPr/>
          <w:p>
            <w:pPr>
              <w:pStyle w:val="Compact"/>
              <w:jc w:val="right"/>
            </w:pPr>
            <w:r>
              <w:t xml:space="preserve">0.35</w:t>
            </w:r>
          </w:p>
        </w:tc>
        <w:tc>
          <w:tcPr/>
          <w:p>
            <w:pPr>
              <w:pStyle w:val="Compact"/>
              <w:jc w:val="right"/>
            </w:pPr>
            <w:r>
              <w:t xml:space="preserve">0.22</w:t>
            </w:r>
          </w:p>
        </w:tc>
        <w:tc>
          <w:tcPr/>
          <w:p>
            <w:pPr>
              <w:pStyle w:val="Compact"/>
              <w:jc w:val="left"/>
            </w:pPr>
            <w:r>
              <w:t xml:space="preserve">+ dose_mg_per_kg, log_dose_mg_per_kg</w:t>
            </w:r>
          </w:p>
        </w:tc>
      </w:tr>
      <w:tr>
        <w:tc>
          <w:tcPr/>
          <w:p>
            <w:pPr>
              <w:pStyle w:val="Compact"/>
              <w:jc w:val="left"/>
            </w:pPr>
            <w:r>
              <w:t xml:space="preserve">Digoxin</w:t>
            </w:r>
          </w:p>
        </w:tc>
        <w:tc>
          <w:tcPr/>
          <w:p>
            <w:pPr>
              <w:pStyle w:val="Compact"/>
              <w:jc w:val="right"/>
            </w:pPr>
            <w:r>
              <w:t xml:space="preserve">5</w:t>
            </w:r>
          </w:p>
        </w:tc>
        <w:tc>
          <w:tcPr/>
          <w:p>
            <w:pPr>
              <w:pStyle w:val="Compact"/>
              <w:jc w:val="right"/>
            </w:pPr>
            <w:r>
              <w:t xml:space="preserve">5×10⁻³</w:t>
            </w:r>
          </w:p>
        </w:tc>
        <w:tc>
          <w:tcPr/>
          <w:p>
            <w:pPr>
              <w:pStyle w:val="Compact"/>
              <w:jc w:val="right"/>
            </w:pPr>
            <w:r>
              <w:t xml:space="preserve">1×10⁻³</w:t>
            </w:r>
          </w:p>
        </w:tc>
        <w:tc>
          <w:tcPr/>
          <w:p>
            <w:pPr>
              <w:pStyle w:val="Compact"/>
              <w:jc w:val="right"/>
            </w:pPr>
            <w:r>
              <w:t xml:space="preserve">100</w:t>
            </w:r>
          </w:p>
        </w:tc>
        <w:tc>
          <w:tcPr/>
          <w:p>
            <w:pPr>
              <w:pStyle w:val="Compact"/>
              <w:jc w:val="right"/>
            </w:pPr>
            <w:r>
              <w:t xml:space="preserve">15</w:t>
            </w:r>
          </w:p>
        </w:tc>
        <w:tc>
          <w:tcPr/>
          <w:p>
            <w:pPr>
              <w:pStyle w:val="Compact"/>
              <w:jc w:val="right"/>
            </w:pPr>
            <w:r>
              <w:t xml:space="preserve">0.35</w:t>
            </w:r>
          </w:p>
        </w:tc>
        <w:tc>
          <w:tcPr/>
          <w:p>
            <w:pPr>
              <w:pStyle w:val="Compact"/>
              <w:jc w:val="right"/>
            </w:pPr>
            <w:r>
              <w:t xml:space="preserve">0.26</w:t>
            </w:r>
          </w:p>
        </w:tc>
        <w:tc>
          <w:tcPr/>
          <w:p>
            <w:pPr>
              <w:pStyle w:val="Compact"/>
              <w:jc w:val="left"/>
            </w:pPr>
            <w:r>
              <w:t xml:space="preserve">Standard</w:t>
            </w:r>
          </w:p>
        </w:tc>
      </w:tr>
    </w:tbl>
    <w:p>
      <w:pPr>
        <w:pStyle w:val="BodyText"/>
      </w:pPr>
      <w:r>
        <w:rPr>
          <w:bCs/>
          <w:b/>
        </w:rPr>
        <w:t xml:space="preserve">Methodological notes.</w:t>
      </w:r>
    </w:p>
    <w:p>
      <w:pPr>
        <w:pStyle w:val="BodyText"/>
      </w:pPr>
      <w:r>
        <w:t xml:space="preserve">For ablation variants using frozen encoder weights (A4), early stopping was applied solely on validation RMSE with patience of 15 epochs, independent of the freeze schedule. For the full DL-PBPK model (A5), early stopping was conditioned on completion of the encoder unfreeze phase to prevent premature convergence before joint optimisation could occur. This decoupling avoids training cycles that would otherwise be wasted running to the epoch cap when validation loss had already converged.</w:t>
      </w:r>
    </w:p>
    <w:p>
      <w:pPr>
        <w:pStyle w:val="BodyText"/>
      </w:pPr>
      <w:r>
        <w:t xml:space="preserve">The standard patient feature columns are: weight_kg, dose_mg, dose_mgkg, age_years, sex. Acetaminophen additionally uses the explicit ratio dose_mg / weight_kg and its logarithm, which materially improved performance on this drug’s dose-dependent kinetics.</w:t>
      </w:r>
    </w:p>
    <w:p>
      <w:pPr>
        <w:pStyle w:val="BodyText"/>
      </w:pPr>
      <w:r>
        <w:t xml:space="preserve">The composite training loss includes auxiliary supervision on concentration, AUC, and C_max:</w:t>
      </w:r>
    </w:p>
    <w:p>
      <w:pPr>
        <w:pStyle w:val="BodyText"/>
      </w:pPr>
      <w:r>
        <w:t xml:space="preserve">ℒ = MSE_conc,rel + 0.10 · MSE_AUC + 0.05 · MSE_Cmax + λ_pk · ℒ_PK</w:t>
      </w:r>
    </w:p>
    <w:p>
      <w:pPr>
        <w:pStyle w:val="BodyText"/>
      </w:pPr>
      <w:r>
        <w:t xml:space="preserve">where ℒ_PK is log-MSE on predicted (CL, V) against per-patient simulator targets.</w:t>
      </w:r>
    </w:p>
    <w:p>
      <w:r>
        <w:pict>
          <v:rect style="width:0;height:1.5pt" o:hralign="center" o:hrstd="t" o:hr="t"/>
        </w:pict>
      </w:r>
    </w:p>
    <w:bookmarkEnd w:id="21"/>
    <w:bookmarkStart w:id="25" w:name="X6f79df9aa2699ac0b656188a9d391df2dcc4f9c"/>
    <w:p>
      <w:pPr>
        <w:pStyle w:val="Heading2"/>
      </w:pPr>
      <w:r>
        <w:t xml:space="preserve">Supplementary Section S3 — Oracle PBPK versus realistic PBPK baseline</w:t>
      </w:r>
    </w:p>
    <w:bookmarkStart w:id="22" w:name="background"/>
    <w:p>
      <w:pPr>
        <w:pStyle w:val="Heading3"/>
      </w:pPr>
      <w:r>
        <w:t xml:space="preserve">Background</w:t>
      </w:r>
    </w:p>
    <w:p>
      <w:pPr>
        <w:pStyle w:val="FirstParagraph"/>
      </w:pPr>
      <w:r>
        <w:t xml:space="preserve">Early Phase 2 exports of the ablation table treated the PBPK-only A1 baseline as having access to the simulator’s true patient-specific clearance and volume parameters (</w:t>
      </w:r>
      <w:r>
        <w:t xml:space="preserve">“</w:t>
      </w:r>
      <w:r>
        <w:t xml:space="preserve">oracle PBPK</w:t>
      </w:r>
      <w:r>
        <w:t xml:space="preserve">”</w:t>
      </w:r>
      <w:r>
        <w:t xml:space="preserve">), which produced an inflated mean R² of 0.853 — essentially equal to the full hybrid (A5: 0.851). This comparison was methodologically invalid: the oracle has access to information (latent draws used to generate observations) that no learning system or clinician could obtain in practice.</w:t>
      </w:r>
    </w:p>
    <w:p>
      <w:pPr>
        <w:pStyle w:val="BodyText"/>
      </w:pPr>
      <w:r>
        <w:t xml:space="preserve">The analysis reported in the main manuscript uses the</w:t>
      </w:r>
      <w:r>
        <w:t xml:space="preserve"> </w:t>
      </w:r>
      <w:r>
        <w:rPr>
          <w:bCs/>
          <w:b/>
        </w:rPr>
        <w:t xml:space="preserve">realistic population PBPK</w:t>
      </w:r>
      <w:r>
        <w:t xml:space="preserve"> </w:t>
      </w:r>
      <w:r>
        <w:t xml:space="preserve">baseline: literature-anchored CL and Vd with shared log-normal multiplicative uncertainty (σ = 0.4 on the log scale per patient, applied identically to both CL and V). This reflects the standard clinical scenario in which a clinician applies population estimates to an individual patient without access to that patient’s true parameter values.</w:t>
      </w:r>
    </w:p>
    <w:bookmarkEnd w:id="22"/>
    <w:bookmarkStart w:id="23" w:name="per-drug-comparison"/>
    <w:p>
      <w:pPr>
        <w:pStyle w:val="Heading3"/>
      </w:pPr>
      <w:r>
        <w:t xml:space="preserve">Per-drug comparison</w:t>
      </w:r>
    </w:p>
    <w:tbl>
      <w:tblPr>
        <w:tblStyle w:val="Table"/>
        <w:tblW w:type="pct" w:w="5000"/>
        <w:tblLook w:firstRow="1" w:lastRow="0" w:firstColumn="0" w:lastColumn="0" w:noHBand="0" w:noVBand="0" w:val="0020"/>
        <w:jc w:val="start"/>
      </w:tblPr>
      <w:tblGrid>
        <w:gridCol w:w="1250"/>
        <w:gridCol w:w="1667"/>
        <w:gridCol w:w="1667"/>
        <w:gridCol w:w="1667"/>
        <w:gridCol w:w="1667"/>
      </w:tblGrid>
      <w:tr>
        <w:trPr>
          <w:tblHeader w:val="true"/>
        </w:trPr>
        <w:tc>
          <w:tcPr/>
          <w:p>
            <w:pPr>
              <w:pStyle w:val="Compact"/>
              <w:jc w:val="left"/>
            </w:pPr>
            <w:r>
              <w:t xml:space="preserve">Drug</w:t>
            </w:r>
          </w:p>
        </w:tc>
        <w:tc>
          <w:tcPr/>
          <w:p>
            <w:pPr>
              <w:pStyle w:val="Compact"/>
              <w:jc w:val="right"/>
            </w:pPr>
            <w:r>
              <w:t xml:space="preserve">Oracle A1 R²</w:t>
            </w:r>
          </w:p>
        </w:tc>
        <w:tc>
          <w:tcPr/>
          <w:p>
            <w:pPr>
              <w:pStyle w:val="Compact"/>
              <w:jc w:val="right"/>
            </w:pPr>
            <w:r>
              <w:t xml:space="preserve">Realistic A1 R²</w:t>
            </w:r>
          </w:p>
        </w:tc>
        <w:tc>
          <w:tcPr/>
          <w:p>
            <w:pPr>
              <w:pStyle w:val="Compact"/>
              <w:jc w:val="right"/>
            </w:pPr>
            <w:r>
              <w:t xml:space="preserve">A5 (hybrid) R²</w:t>
            </w:r>
          </w:p>
        </w:tc>
        <w:tc>
          <w:tcPr/>
          <w:p>
            <w:pPr>
              <w:pStyle w:val="Compact"/>
              <w:jc w:val="right"/>
            </w:pPr>
            <w:r>
              <w:t xml:space="preserve">A5 − realistic A1</w:t>
            </w:r>
          </w:p>
        </w:tc>
      </w:tr>
      <w:tr>
        <w:tc>
          <w:tcPr/>
          <w:p>
            <w:pPr>
              <w:pStyle w:val="Compact"/>
              <w:jc w:val="left"/>
            </w:pPr>
            <w:r>
              <w:t xml:space="preserve">Theophylline</w:t>
            </w:r>
          </w:p>
        </w:tc>
        <w:tc>
          <w:tcPr/>
          <w:p>
            <w:pPr>
              <w:pStyle w:val="Compact"/>
              <w:jc w:val="right"/>
            </w:pPr>
            <w:r>
              <w:t xml:space="preserve">0.833</w:t>
            </w:r>
          </w:p>
        </w:tc>
        <w:tc>
          <w:tcPr/>
          <w:p>
            <w:pPr>
              <w:pStyle w:val="Compact"/>
              <w:jc w:val="right"/>
            </w:pPr>
            <w:r>
              <w:t xml:space="preserve">−0.061</w:t>
            </w:r>
          </w:p>
        </w:tc>
        <w:tc>
          <w:tcPr/>
          <w:p>
            <w:pPr>
              <w:pStyle w:val="Compact"/>
              <w:jc w:val="right"/>
            </w:pPr>
            <w:r>
              <w:t xml:space="preserve">0.827</w:t>
            </w:r>
          </w:p>
        </w:tc>
        <w:tc>
          <w:tcPr/>
          <w:p>
            <w:pPr>
              <w:pStyle w:val="Compact"/>
              <w:jc w:val="right"/>
            </w:pPr>
            <w:r>
              <w:t xml:space="preserve">+0.889</w:t>
            </w:r>
          </w:p>
        </w:tc>
      </w:tr>
      <w:tr>
        <w:tc>
          <w:tcPr/>
          <w:p>
            <w:pPr>
              <w:pStyle w:val="Compact"/>
              <w:jc w:val="left"/>
            </w:pPr>
            <w:r>
              <w:t xml:space="preserve">Warfarin</w:t>
            </w:r>
          </w:p>
        </w:tc>
        <w:tc>
          <w:tcPr/>
          <w:p>
            <w:pPr>
              <w:pStyle w:val="Compact"/>
              <w:jc w:val="right"/>
            </w:pPr>
            <w:r>
              <w:t xml:space="preserve">0.776</w:t>
            </w:r>
          </w:p>
        </w:tc>
        <w:tc>
          <w:tcPr/>
          <w:p>
            <w:pPr>
              <w:pStyle w:val="Compact"/>
              <w:jc w:val="right"/>
            </w:pPr>
            <w:r>
              <w:t xml:space="preserve">0.347</w:t>
            </w:r>
          </w:p>
        </w:tc>
        <w:tc>
          <w:tcPr/>
          <w:p>
            <w:pPr>
              <w:pStyle w:val="Compact"/>
              <w:jc w:val="right"/>
            </w:pPr>
            <w:r>
              <w:t xml:space="preserve">0.781</w:t>
            </w:r>
          </w:p>
        </w:tc>
        <w:tc>
          <w:tcPr/>
          <w:p>
            <w:pPr>
              <w:pStyle w:val="Compact"/>
              <w:jc w:val="right"/>
            </w:pPr>
            <w:r>
              <w:t xml:space="preserve">+0.434</w:t>
            </w:r>
          </w:p>
        </w:tc>
      </w:tr>
      <w:tr>
        <w:tc>
          <w:tcPr/>
          <w:p>
            <w:pPr>
              <w:pStyle w:val="Compact"/>
              <w:jc w:val="left"/>
            </w:pPr>
            <w:r>
              <w:t xml:space="preserve">Midazolam</w:t>
            </w:r>
          </w:p>
        </w:tc>
        <w:tc>
          <w:tcPr/>
          <w:p>
            <w:pPr>
              <w:pStyle w:val="Compact"/>
              <w:jc w:val="right"/>
            </w:pPr>
            <w:r>
              <w:t xml:space="preserve">0.922</w:t>
            </w:r>
          </w:p>
        </w:tc>
        <w:tc>
          <w:tcPr/>
          <w:p>
            <w:pPr>
              <w:pStyle w:val="Compact"/>
              <w:jc w:val="right"/>
            </w:pPr>
            <w:r>
              <w:t xml:space="preserve">0.720</w:t>
            </w:r>
          </w:p>
        </w:tc>
        <w:tc>
          <w:tcPr/>
          <w:p>
            <w:pPr>
              <w:pStyle w:val="Compact"/>
              <w:jc w:val="right"/>
            </w:pPr>
            <w:r>
              <w:t xml:space="preserve">0.920</w:t>
            </w:r>
          </w:p>
        </w:tc>
        <w:tc>
          <w:tcPr/>
          <w:p>
            <w:pPr>
              <w:pStyle w:val="Compact"/>
              <w:jc w:val="right"/>
            </w:pPr>
            <w:r>
              <w:t xml:space="preserve">+0.200</w:t>
            </w:r>
          </w:p>
        </w:tc>
      </w:tr>
      <w:tr>
        <w:tc>
          <w:tcPr/>
          <w:p>
            <w:pPr>
              <w:pStyle w:val="Compact"/>
              <w:jc w:val="left"/>
            </w:pPr>
            <w:r>
              <w:t xml:space="preserve">Caffeine</w:t>
            </w:r>
          </w:p>
        </w:tc>
        <w:tc>
          <w:tcPr/>
          <w:p>
            <w:pPr>
              <w:pStyle w:val="Compact"/>
              <w:jc w:val="right"/>
            </w:pPr>
            <w:r>
              <w:t xml:space="preserve">0.870</w:t>
            </w:r>
          </w:p>
        </w:tc>
        <w:tc>
          <w:tcPr/>
          <w:p>
            <w:pPr>
              <w:pStyle w:val="Compact"/>
              <w:jc w:val="right"/>
            </w:pPr>
            <w:r>
              <w:t xml:space="preserve">0.305</w:t>
            </w:r>
          </w:p>
        </w:tc>
        <w:tc>
          <w:tcPr/>
          <w:p>
            <w:pPr>
              <w:pStyle w:val="Compact"/>
              <w:jc w:val="right"/>
            </w:pPr>
            <w:r>
              <w:t xml:space="preserve">0.871</w:t>
            </w:r>
          </w:p>
        </w:tc>
        <w:tc>
          <w:tcPr/>
          <w:p>
            <w:pPr>
              <w:pStyle w:val="Compact"/>
              <w:jc w:val="right"/>
            </w:pPr>
            <w:r>
              <w:t xml:space="preserve">+0.566</w:t>
            </w:r>
          </w:p>
        </w:tc>
      </w:tr>
      <w:tr>
        <w:tc>
          <w:tcPr/>
          <w:p>
            <w:pPr>
              <w:pStyle w:val="Compact"/>
              <w:jc w:val="left"/>
            </w:pPr>
            <w:r>
              <w:t xml:space="preserve">Acetaminophen</w:t>
            </w:r>
          </w:p>
        </w:tc>
        <w:tc>
          <w:tcPr/>
          <w:p>
            <w:pPr>
              <w:pStyle w:val="Compact"/>
              <w:jc w:val="right"/>
            </w:pPr>
            <w:r>
              <w:t xml:space="preserve">0.928</w:t>
            </w:r>
          </w:p>
        </w:tc>
        <w:tc>
          <w:tcPr/>
          <w:p>
            <w:pPr>
              <w:pStyle w:val="Compact"/>
              <w:jc w:val="right"/>
            </w:pPr>
            <w:r>
              <w:t xml:space="preserve">0.723</w:t>
            </w:r>
          </w:p>
        </w:tc>
        <w:tc>
          <w:tcPr/>
          <w:p>
            <w:pPr>
              <w:pStyle w:val="Compact"/>
              <w:jc w:val="right"/>
            </w:pPr>
            <w:r>
              <w:t xml:space="preserve">0.929</w:t>
            </w:r>
          </w:p>
        </w:tc>
        <w:tc>
          <w:tcPr/>
          <w:p>
            <w:pPr>
              <w:pStyle w:val="Compact"/>
              <w:jc w:val="right"/>
            </w:pPr>
            <w:r>
              <w:t xml:space="preserve">+0.206</w:t>
            </w:r>
          </w:p>
        </w:tc>
      </w:tr>
      <w:tr>
        <w:tc>
          <w:tcPr/>
          <w:p>
            <w:pPr>
              <w:pStyle w:val="Compact"/>
              <w:jc w:val="left"/>
            </w:pPr>
            <w:r>
              <w:t xml:space="preserve">Digoxin</w:t>
            </w:r>
          </w:p>
        </w:tc>
        <w:tc>
          <w:tcPr/>
          <w:p>
            <w:pPr>
              <w:pStyle w:val="Compact"/>
              <w:jc w:val="right"/>
            </w:pPr>
            <w:r>
              <w:t xml:space="preserve">0.789</w:t>
            </w:r>
          </w:p>
        </w:tc>
        <w:tc>
          <w:tcPr/>
          <w:p>
            <w:pPr>
              <w:pStyle w:val="Compact"/>
              <w:jc w:val="right"/>
            </w:pPr>
            <w:r>
              <w:t xml:space="preserve">0.014</w:t>
            </w:r>
          </w:p>
        </w:tc>
        <w:tc>
          <w:tcPr/>
          <w:p>
            <w:pPr>
              <w:pStyle w:val="Compact"/>
              <w:jc w:val="right"/>
            </w:pPr>
            <w:r>
              <w:t xml:space="preserve">0.780</w:t>
            </w:r>
          </w:p>
        </w:tc>
        <w:tc>
          <w:tcPr/>
          <w:p>
            <w:pPr>
              <w:pStyle w:val="Compact"/>
              <w:jc w:val="right"/>
            </w:pPr>
            <w:r>
              <w:t xml:space="preserve">+0.765</w:t>
            </w:r>
          </w:p>
        </w:tc>
      </w:tr>
      <w:tr>
        <w:tc>
          <w:tcPr/>
          <w:p>
            <w:pPr>
              <w:pStyle w:val="Compact"/>
              <w:jc w:val="left"/>
            </w:pPr>
            <w:r>
              <w:rPr>
                <w:bCs/>
                <w:b/>
              </w:rPr>
              <w:t xml:space="preserve">Mean</w:t>
            </w:r>
          </w:p>
        </w:tc>
        <w:tc>
          <w:tcPr/>
          <w:p>
            <w:pPr>
              <w:pStyle w:val="Compact"/>
              <w:jc w:val="right"/>
            </w:pPr>
            <w:r>
              <w:rPr>
                <w:bCs/>
                <w:b/>
              </w:rPr>
              <w:t xml:space="preserve">0.853</w:t>
            </w:r>
          </w:p>
        </w:tc>
        <w:tc>
          <w:tcPr/>
          <w:p>
            <w:pPr>
              <w:pStyle w:val="Compact"/>
              <w:jc w:val="right"/>
            </w:pPr>
            <w:r>
              <w:rPr>
                <w:bCs/>
                <w:b/>
              </w:rPr>
              <w:t xml:space="preserve">0.341</w:t>
            </w:r>
          </w:p>
        </w:tc>
        <w:tc>
          <w:tcPr/>
          <w:p>
            <w:pPr>
              <w:pStyle w:val="Compact"/>
              <w:jc w:val="right"/>
            </w:pPr>
            <w:r>
              <w:rPr>
                <w:bCs/>
                <w:b/>
              </w:rPr>
              <w:t xml:space="preserve">0.851</w:t>
            </w:r>
          </w:p>
        </w:tc>
        <w:tc>
          <w:tcPr/>
          <w:p>
            <w:pPr>
              <w:pStyle w:val="Compact"/>
              <w:jc w:val="right"/>
            </w:pPr>
            <w:r>
              <w:rPr>
                <w:bCs/>
                <w:b/>
              </w:rPr>
              <w:t xml:space="preserve">+0.510</w:t>
            </w:r>
          </w:p>
        </w:tc>
      </w:tr>
    </w:tbl>
    <w:bookmarkEnd w:id="23"/>
    <w:bookmarkStart w:id="24" w:name="methodological-note"/>
    <w:p>
      <w:pPr>
        <w:pStyle w:val="Heading3"/>
      </w:pPr>
      <w:r>
        <w:t xml:space="preserve">Methodological note</w:t>
      </w:r>
    </w:p>
    <w:p>
      <w:pPr>
        <w:pStyle w:val="FirstParagraph"/>
      </w:pPr>
      <w:r>
        <w:t xml:space="preserve">Theophylline (realistic A1 R² = −0.061, below chance) and digoxin (realistic A1 R² = 0.014) are the cases where population PBPK with realistic uncertainty performs worst. These are precisely the drugs with the highest known clinical inter-individual variability — theophylline due to age, smoking, hepatic function, and comorbidities; digoxin due to renal function variation. The realistic baseline therefore reproduces a familiar challenge in clinical pharmacology, and the hybrid’s large gains on these specific drugs reflect successful compensation for population parameter unreliability.</w:t>
      </w:r>
    </w:p>
    <w:p>
      <w:pPr>
        <w:pStyle w:val="BodyText"/>
      </w:pPr>
      <w:r>
        <w:t xml:space="preserve">Future hybrid PK evaluations should adopt similarly realistic baselines as primary comparators and reserve oracle-style comparisons for methodological sanity-checking only.</w:t>
      </w:r>
    </w:p>
    <w:p>
      <w:r>
        <w:pict>
          <v:rect style="width:0;height:1.5pt" o:hralign="center" o:hrstd="t" o:hr="t"/>
        </w:pict>
      </w:r>
    </w:p>
    <w:bookmarkEnd w:id="24"/>
    <w:bookmarkEnd w:id="25"/>
    <w:bookmarkStart w:id="29" w:name="X8b81278c164b160ff18d981e72627caca8d58f1"/>
    <w:p>
      <w:pPr>
        <w:pStyle w:val="Heading2"/>
      </w:pPr>
      <w:r>
        <w:t xml:space="preserve">Supplementary Section S4 — Statistical significance tests</w:t>
      </w:r>
    </w:p>
    <w:bookmarkStart w:id="26" w:name="test-methodology"/>
    <w:p>
      <w:pPr>
        <w:pStyle w:val="Heading3"/>
      </w:pPr>
      <w:r>
        <w:t xml:space="preserve">Test methodology</w:t>
      </w:r>
    </w:p>
    <w:p>
      <w:pPr>
        <w:pStyle w:val="FirstParagraph"/>
      </w:pPr>
      <w:r>
        <w:t xml:space="preserve">For each drug × baseline combination, two paired comparisons were conducted between the hybrid (A5) and each baseline:</w:t>
      </w:r>
    </w:p>
    <w:p>
      <w:pPr>
        <w:numPr>
          <w:ilvl w:val="0"/>
          <w:numId w:val="1001"/>
        </w:numPr>
      </w:pPr>
      <w:r>
        <w:rPr>
          <w:bCs/>
          <w:b/>
        </w:rPr>
        <w:t xml:space="preserve">Per-patient RMSE test (primary).</w:t>
      </w:r>
      <w:r>
        <w:t xml:space="preserve"> </w:t>
      </w:r>
      <w:r>
        <w:t xml:space="preserve">Paired t-test on per-patient RMSE differences (n = 20 paired observations per drug). Reports two-sided p-value and 95% confidence interval on the mean RMSE difference.</w:t>
      </w:r>
    </w:p>
    <w:p>
      <w:pPr>
        <w:numPr>
          <w:ilvl w:val="0"/>
          <w:numId w:val="1001"/>
        </w:numPr>
      </w:pPr>
      <w:r>
        <w:rPr>
          <w:bCs/>
          <w:b/>
        </w:rPr>
        <w:t xml:space="preserve">Per-timepoint squared error test (secondary, more sensitive).</w:t>
      </w:r>
      <w:r>
        <w:t xml:space="preserve"> </w:t>
      </w:r>
      <w:r>
        <w:t xml:space="preserve">Paired t-test on per-timepoint squared prediction errors (n = 260 paired observations per drug). This test has greater statistical power than the per-patient test because it operates at finer granularity.</w:t>
      </w:r>
    </w:p>
    <w:p>
      <w:pPr>
        <w:pStyle w:val="FirstParagraph"/>
      </w:pPr>
      <w:r>
        <w:t xml:space="preserve">Both tests are reported in the project results CSV</w:t>
      </w:r>
      <w:r>
        <w:t xml:space="preserve"> </w:t>
      </w:r>
      <w:r>
        <w:rPr>
          <w:rStyle w:val="VerbatimChar"/>
        </w:rPr>
        <w:t xml:space="preserve">phase2_statistical_tests_final.csv</w:t>
      </w:r>
      <w:r>
        <w:t xml:space="preserve"> </w:t>
      </w:r>
      <w:r>
        <w:t xml:space="preserve">available in the repository. The primary test (per-patient RMSE) is the more conservative basis for significance claims in the main text.</w:t>
      </w:r>
    </w:p>
    <w:bookmarkEnd w:id="26"/>
    <w:bookmarkStart w:id="27" w:name="Xc621d63010a97758047893eb8828609b60f9657"/>
    <w:p>
      <w:pPr>
        <w:pStyle w:val="Heading3"/>
      </w:pPr>
      <w:r>
        <w:t xml:space="preserve">Primary test summary (per-patient RMSE, hybrid versus each baseline)</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Drug</w:t>
            </w:r>
          </w:p>
        </w:tc>
        <w:tc>
          <w:tcPr/>
          <w:p>
            <w:pPr>
              <w:pStyle w:val="Compact"/>
              <w:jc w:val="right"/>
            </w:pPr>
            <w:r>
              <w:t xml:space="preserve">vs PBPK-only</w:t>
            </w:r>
          </w:p>
        </w:tc>
        <w:tc>
          <w:tcPr/>
          <w:p>
            <w:pPr>
              <w:pStyle w:val="Compact"/>
              <w:jc w:val="right"/>
            </w:pPr>
            <w:r>
              <w:t xml:space="preserve">vs MLP</w:t>
            </w:r>
          </w:p>
        </w:tc>
        <w:tc>
          <w:tcPr/>
          <w:p>
            <w:pPr>
              <w:pStyle w:val="Compact"/>
              <w:jc w:val="right"/>
            </w:pPr>
            <w:r>
              <w:t xml:space="preserve">vs RF</w:t>
            </w:r>
          </w:p>
        </w:tc>
        <w:tc>
          <w:tcPr/>
          <w:p>
            <w:pPr>
              <w:pStyle w:val="Compact"/>
              <w:jc w:val="right"/>
            </w:pPr>
            <w:r>
              <w:t xml:space="preserve">vs XGBoost</w:t>
            </w:r>
          </w:p>
        </w:tc>
        <w:tc>
          <w:tcPr/>
          <w:p>
            <w:pPr>
              <w:pStyle w:val="Compact"/>
              <w:jc w:val="right"/>
            </w:pPr>
            <w:r>
              <w:t xml:space="preserve">vs Vanilla GNN</w:t>
            </w:r>
          </w:p>
        </w:tc>
      </w:tr>
      <w:tr>
        <w:tc>
          <w:tcPr/>
          <w:p>
            <w:pPr>
              <w:pStyle w:val="Compact"/>
              <w:jc w:val="left"/>
            </w:pPr>
            <w:r>
              <w:t xml:space="preserve">Theophylline</w:t>
            </w:r>
          </w:p>
        </w:tc>
        <w:tc>
          <w:tcPr/>
          <w:p>
            <w:pPr>
              <w:pStyle w:val="Compact"/>
              <w:jc w:val="right"/>
            </w:pPr>
            <w:r>
              <w:t xml:space="preserve">0.008 **</w:t>
            </w:r>
          </w:p>
        </w:tc>
        <w:tc>
          <w:tcPr/>
          <w:p>
            <w:pPr>
              <w:pStyle w:val="Compact"/>
              <w:jc w:val="right"/>
            </w:pPr>
            <w:r>
              <w:t xml:space="preserve">0.878</w:t>
            </w:r>
          </w:p>
        </w:tc>
        <w:tc>
          <w:tcPr/>
          <w:p>
            <w:pPr>
              <w:pStyle w:val="Compact"/>
              <w:jc w:val="right"/>
            </w:pPr>
            <w:r>
              <w:t xml:space="preserve">0.174</w:t>
            </w:r>
          </w:p>
        </w:tc>
        <w:tc>
          <w:tcPr/>
          <w:p>
            <w:pPr>
              <w:pStyle w:val="Compact"/>
              <w:jc w:val="right"/>
            </w:pPr>
            <w:r>
              <w:t xml:space="preserve">0.173</w:t>
            </w:r>
          </w:p>
        </w:tc>
        <w:tc>
          <w:tcPr/>
          <w:p>
            <w:pPr>
              <w:pStyle w:val="Compact"/>
              <w:jc w:val="right"/>
            </w:pPr>
            <w:r>
              <w:t xml:space="preserve">0.266</w:t>
            </w:r>
          </w:p>
        </w:tc>
      </w:tr>
      <w:tr>
        <w:tc>
          <w:tcPr/>
          <w:p>
            <w:pPr>
              <w:pStyle w:val="Compact"/>
              <w:jc w:val="left"/>
            </w:pPr>
            <w:r>
              <w:t xml:space="preserve">Warfarin</w:t>
            </w:r>
          </w:p>
        </w:tc>
        <w:tc>
          <w:tcPr/>
          <w:p>
            <w:pPr>
              <w:pStyle w:val="Compact"/>
              <w:jc w:val="right"/>
            </w:pPr>
            <w:r>
              <w:t xml:space="preserve">0.064</w:t>
            </w:r>
          </w:p>
        </w:tc>
        <w:tc>
          <w:tcPr/>
          <w:p>
            <w:pPr>
              <w:pStyle w:val="Compact"/>
              <w:jc w:val="right"/>
            </w:pPr>
            <w:r>
              <w:t xml:space="preserve">0.211</w:t>
            </w:r>
          </w:p>
        </w:tc>
        <w:tc>
          <w:tcPr/>
          <w:p>
            <w:pPr>
              <w:pStyle w:val="Compact"/>
              <w:jc w:val="right"/>
            </w:pPr>
            <w:r>
              <w:t xml:space="preserve">0.711</w:t>
            </w:r>
          </w:p>
        </w:tc>
        <w:tc>
          <w:tcPr/>
          <w:p>
            <w:pPr>
              <w:pStyle w:val="Compact"/>
              <w:jc w:val="right"/>
            </w:pPr>
            <w:r>
              <w:t xml:space="preserve">0.392</w:t>
            </w:r>
          </w:p>
        </w:tc>
        <w:tc>
          <w:tcPr/>
          <w:p>
            <w:pPr>
              <w:pStyle w:val="Compact"/>
              <w:jc w:val="right"/>
            </w:pPr>
            <w:r>
              <w:t xml:space="preserve">0.256</w:t>
            </w:r>
          </w:p>
        </w:tc>
      </w:tr>
      <w:tr>
        <w:tc>
          <w:tcPr/>
          <w:p>
            <w:pPr>
              <w:pStyle w:val="Compact"/>
              <w:jc w:val="left"/>
            </w:pPr>
            <w:r>
              <w:t xml:space="preserve">Midazolam</w:t>
            </w:r>
          </w:p>
        </w:tc>
        <w:tc>
          <w:tcPr/>
          <w:p>
            <w:pPr>
              <w:pStyle w:val="Compact"/>
              <w:jc w:val="right"/>
            </w:pPr>
            <w:r>
              <w:t xml:space="preserve">0.041 *</w:t>
            </w:r>
          </w:p>
        </w:tc>
        <w:tc>
          <w:tcPr/>
          <w:p>
            <w:pPr>
              <w:pStyle w:val="Compact"/>
              <w:jc w:val="right"/>
            </w:pPr>
            <w:r>
              <w:t xml:space="preserve">&lt;0.001 ***</w:t>
            </w:r>
          </w:p>
        </w:tc>
        <w:tc>
          <w:tcPr/>
          <w:p>
            <w:pPr>
              <w:pStyle w:val="Compact"/>
              <w:jc w:val="right"/>
            </w:pPr>
            <w:r>
              <w:t xml:space="preserve">0.108</w:t>
            </w:r>
          </w:p>
        </w:tc>
        <w:tc>
          <w:tcPr/>
          <w:p>
            <w:pPr>
              <w:pStyle w:val="Compact"/>
              <w:jc w:val="right"/>
            </w:pPr>
            <w:r>
              <w:t xml:space="preserve">0.070</w:t>
            </w:r>
          </w:p>
        </w:tc>
        <w:tc>
          <w:tcPr/>
          <w:p>
            <w:pPr>
              <w:pStyle w:val="Compact"/>
              <w:jc w:val="right"/>
            </w:pPr>
            <w:r>
              <w:t xml:space="preserve">0.359</w:t>
            </w:r>
          </w:p>
        </w:tc>
      </w:tr>
      <w:tr>
        <w:tc>
          <w:tcPr/>
          <w:p>
            <w:pPr>
              <w:pStyle w:val="Compact"/>
              <w:jc w:val="left"/>
            </w:pPr>
            <w:r>
              <w:t xml:space="preserve">Caffeine</w:t>
            </w:r>
          </w:p>
        </w:tc>
        <w:tc>
          <w:tcPr/>
          <w:p>
            <w:pPr>
              <w:pStyle w:val="Compact"/>
              <w:jc w:val="right"/>
            </w:pPr>
            <w:r>
              <w:t xml:space="preserve">&lt;0.001 ***</w:t>
            </w:r>
          </w:p>
        </w:tc>
        <w:tc>
          <w:tcPr/>
          <w:p>
            <w:pPr>
              <w:pStyle w:val="Compact"/>
              <w:jc w:val="right"/>
            </w:pPr>
            <w:r>
              <w:t xml:space="preserve">0.400</w:t>
            </w:r>
          </w:p>
        </w:tc>
        <w:tc>
          <w:tcPr/>
          <w:p>
            <w:pPr>
              <w:pStyle w:val="Compact"/>
              <w:jc w:val="right"/>
            </w:pPr>
            <w:r>
              <w:t xml:space="preserve">0.652</w:t>
            </w:r>
          </w:p>
        </w:tc>
        <w:tc>
          <w:tcPr/>
          <w:p>
            <w:pPr>
              <w:pStyle w:val="Compact"/>
              <w:jc w:val="right"/>
            </w:pPr>
            <w:r>
              <w:t xml:space="preserve">0.230</w:t>
            </w:r>
          </w:p>
        </w:tc>
        <w:tc>
          <w:tcPr/>
          <w:p>
            <w:pPr>
              <w:pStyle w:val="Compact"/>
              <w:jc w:val="right"/>
            </w:pPr>
            <w:r>
              <w:t xml:space="preserve">0.881</w:t>
            </w:r>
          </w:p>
        </w:tc>
      </w:tr>
      <w:tr>
        <w:tc>
          <w:tcPr/>
          <w:p>
            <w:pPr>
              <w:pStyle w:val="Compact"/>
              <w:jc w:val="left"/>
            </w:pPr>
            <w:r>
              <w:t xml:space="preserve">Acetaminophen</w:t>
            </w:r>
          </w:p>
        </w:tc>
        <w:tc>
          <w:tcPr/>
          <w:p>
            <w:pPr>
              <w:pStyle w:val="Compact"/>
              <w:jc w:val="right"/>
            </w:pPr>
            <w:r>
              <w:t xml:space="preserve">0.003 **</w:t>
            </w:r>
          </w:p>
        </w:tc>
        <w:tc>
          <w:tcPr/>
          <w:p>
            <w:pPr>
              <w:pStyle w:val="Compact"/>
              <w:jc w:val="right"/>
            </w:pPr>
            <w:r>
              <w:t xml:space="preserve">0.042 *</w:t>
            </w:r>
          </w:p>
        </w:tc>
        <w:tc>
          <w:tcPr/>
          <w:p>
            <w:pPr>
              <w:pStyle w:val="Compact"/>
              <w:jc w:val="right"/>
            </w:pPr>
            <w:r>
              <w:t xml:space="preserve">0.077</w:t>
            </w:r>
          </w:p>
        </w:tc>
        <w:tc>
          <w:tcPr/>
          <w:p>
            <w:pPr>
              <w:pStyle w:val="Compact"/>
              <w:jc w:val="right"/>
            </w:pPr>
            <w:r>
              <w:t xml:space="preserve">0.030 *</w:t>
            </w:r>
          </w:p>
        </w:tc>
        <w:tc>
          <w:tcPr/>
          <w:p>
            <w:pPr>
              <w:pStyle w:val="Compact"/>
              <w:jc w:val="right"/>
            </w:pPr>
            <w:r>
              <w:t xml:space="preserve">0.406</w:t>
            </w:r>
          </w:p>
        </w:tc>
      </w:tr>
      <w:tr>
        <w:tc>
          <w:tcPr/>
          <w:p>
            <w:pPr>
              <w:pStyle w:val="Compact"/>
              <w:jc w:val="left"/>
            </w:pPr>
            <w:r>
              <w:t xml:space="preserve">Digoxin</w:t>
            </w:r>
          </w:p>
        </w:tc>
        <w:tc>
          <w:tcPr/>
          <w:p>
            <w:pPr>
              <w:pStyle w:val="Compact"/>
              <w:jc w:val="right"/>
            </w:pPr>
            <w:r>
              <w:t xml:space="preserve">0.018 *</w:t>
            </w:r>
          </w:p>
        </w:tc>
        <w:tc>
          <w:tcPr/>
          <w:p>
            <w:pPr>
              <w:pStyle w:val="Compact"/>
              <w:jc w:val="right"/>
            </w:pPr>
            <w:r>
              <w:t xml:space="preserve">0.216</w:t>
            </w:r>
          </w:p>
        </w:tc>
        <w:tc>
          <w:tcPr/>
          <w:p>
            <w:pPr>
              <w:pStyle w:val="Compact"/>
              <w:jc w:val="right"/>
            </w:pPr>
            <w:r>
              <w:t xml:space="preserve">0.311</w:t>
            </w:r>
          </w:p>
        </w:tc>
        <w:tc>
          <w:tcPr/>
          <w:p>
            <w:pPr>
              <w:pStyle w:val="Compact"/>
              <w:jc w:val="right"/>
            </w:pPr>
            <w:r>
              <w:t xml:space="preserve">0.356</w:t>
            </w:r>
          </w:p>
        </w:tc>
        <w:tc>
          <w:tcPr/>
          <w:p>
            <w:pPr>
              <w:pStyle w:val="Compact"/>
              <w:jc w:val="right"/>
            </w:pPr>
            <w:r>
              <w:t xml:space="preserve">0.341</w:t>
            </w:r>
          </w:p>
        </w:tc>
      </w:tr>
    </w:tbl>
    <w:p>
      <w:pPr>
        <w:pStyle w:val="BodyText"/>
      </w:pPr>
      <w:r>
        <w:t xml:space="preserve">Significance: * p &lt; 0.05, ** p &lt; 0.01, *** p &lt; 0.001.</w:t>
      </w:r>
    </w:p>
    <w:bookmarkEnd w:id="27"/>
    <w:bookmarkStart w:id="28" w:name="multiple-testing-note"/>
    <w:p>
      <w:pPr>
        <w:pStyle w:val="Heading3"/>
      </w:pPr>
      <w:r>
        <w:t xml:space="preserve">Multiple-testing note</w:t>
      </w:r>
    </w:p>
    <w:p>
      <w:pPr>
        <w:pStyle w:val="FirstParagraph"/>
      </w:pPr>
      <w:r>
        <w:t xml:space="preserve">Reported p-values are uncorrected. Across 6 drugs × 5 baselines = 30 comparisons, an unadjusted significance threshold of α = 0.05 will produce approximately 1.5 false-positive results by chance. With Bonferroni adjustment (α/30 ≈ 0.00167), the strongly significant results remain robust:</w:t>
      </w:r>
    </w:p>
    <w:p>
      <w:pPr>
        <w:numPr>
          <w:ilvl w:val="0"/>
          <w:numId w:val="1002"/>
        </w:numPr>
        <w:pStyle w:val="Compact"/>
      </w:pPr>
      <w:r>
        <w:t xml:space="preserve">Caffeine vs PBPK-only (p &lt; 0.001) — survives.</w:t>
      </w:r>
    </w:p>
    <w:p>
      <w:pPr>
        <w:numPr>
          <w:ilvl w:val="0"/>
          <w:numId w:val="1002"/>
        </w:numPr>
        <w:pStyle w:val="Compact"/>
      </w:pPr>
      <w:r>
        <w:t xml:space="preserve">Midazolam vs MLP (p &lt; 0.001) — survives.</w:t>
      </w:r>
    </w:p>
    <w:p>
      <w:pPr>
        <w:pStyle w:val="FirstParagraph"/>
      </w:pPr>
      <w:r>
        <w:t xml:space="preserve">Other significant findings (theophylline, midazolam, acetaminophen, digoxin vs PBPK-only) should be interpreted with appropriate caution given the multiple testing context. The aggregate ablation comparison (mean R² 0.341 → 0.851) is robust across all drugs and does not depend on per-drug significance for its conclusion.</w:t>
      </w:r>
    </w:p>
    <w:p>
      <w:r>
        <w:pict>
          <v:rect style="width:0;height:1.5pt" o:hralign="center" o:hrstd="t" o:hr="t"/>
        </w:pict>
      </w:r>
    </w:p>
    <w:bookmarkEnd w:id="28"/>
    <w:bookmarkEnd w:id="29"/>
    <w:bookmarkStart w:id="35" w:name="Xd3fafdd796f029911a1a791f71431d1705c3afc"/>
    <w:p>
      <w:pPr>
        <w:pStyle w:val="Heading2"/>
      </w:pPr>
      <w:r>
        <w:t xml:space="preserve">Supplementary Section S5 — Reproducibility checklist</w:t>
      </w:r>
    </w:p>
    <w:bookmarkStart w:id="30" w:name="software-environment"/>
    <w:p>
      <w:pPr>
        <w:pStyle w:val="Heading3"/>
      </w:pPr>
      <w:r>
        <w:t xml:space="preserve">Software environment</w:t>
      </w:r>
    </w:p>
    <w:p>
      <w:pPr>
        <w:numPr>
          <w:ilvl w:val="0"/>
          <w:numId w:val="1003"/>
        </w:numPr>
        <w:pStyle w:val="Compact"/>
      </w:pPr>
      <w:r>
        <w:t xml:space="preserve">Python 3.11</w:t>
      </w:r>
    </w:p>
    <w:p>
      <w:pPr>
        <w:numPr>
          <w:ilvl w:val="0"/>
          <w:numId w:val="1003"/>
        </w:numPr>
        <w:pStyle w:val="Compact"/>
      </w:pPr>
      <w:r>
        <w:t xml:space="preserve">PyTorch (CPU build)</w:t>
      </w:r>
    </w:p>
    <w:p>
      <w:pPr>
        <w:numPr>
          <w:ilvl w:val="0"/>
          <w:numId w:val="1003"/>
        </w:numPr>
        <w:pStyle w:val="Compact"/>
      </w:pPr>
      <w:r>
        <w:t xml:space="preserve">RDKit</w:t>
      </w:r>
    </w:p>
    <w:p>
      <w:pPr>
        <w:numPr>
          <w:ilvl w:val="0"/>
          <w:numId w:val="1003"/>
        </w:numPr>
        <w:pStyle w:val="Compact"/>
      </w:pPr>
      <w:r>
        <w:t xml:space="preserve">scikit-learn</w:t>
      </w:r>
    </w:p>
    <w:p>
      <w:pPr>
        <w:numPr>
          <w:ilvl w:val="0"/>
          <w:numId w:val="1003"/>
        </w:numPr>
        <w:pStyle w:val="Compact"/>
      </w:pPr>
      <w:r>
        <w:t xml:space="preserve">XGBoost</w:t>
      </w:r>
    </w:p>
    <w:p>
      <w:pPr>
        <w:numPr>
          <w:ilvl w:val="0"/>
          <w:numId w:val="1003"/>
        </w:numPr>
        <w:pStyle w:val="Compact"/>
      </w:pPr>
      <w:r>
        <w:t xml:space="preserve">SciPy (statistical tests)</w:t>
      </w:r>
    </w:p>
    <w:p>
      <w:pPr>
        <w:numPr>
          <w:ilvl w:val="0"/>
          <w:numId w:val="1003"/>
        </w:numPr>
        <w:pStyle w:val="Compact"/>
      </w:pPr>
      <w:r>
        <w:t xml:space="preserve">matplotlib, seaborn (plots)</w:t>
      </w:r>
    </w:p>
    <w:p>
      <w:pPr>
        <w:numPr>
          <w:ilvl w:val="0"/>
          <w:numId w:val="1003"/>
        </w:numPr>
        <w:pStyle w:val="Compact"/>
      </w:pPr>
      <w:r>
        <w:t xml:space="preserve">pandas, numpy</w:t>
      </w:r>
    </w:p>
    <w:p>
      <w:pPr>
        <w:numPr>
          <w:ilvl w:val="0"/>
          <w:numId w:val="1003"/>
        </w:numPr>
        <w:pStyle w:val="Compact"/>
      </w:pPr>
      <w:r>
        <w:t xml:space="preserve">SHAP</w:t>
      </w:r>
    </w:p>
    <w:p>
      <w:pPr>
        <w:pStyle w:val="FirstParagraph"/>
      </w:pPr>
      <w:r>
        <w:t xml:space="preserve">Pinned versions are listed in</w:t>
      </w:r>
      <w:r>
        <w:t xml:space="preserve"> </w:t>
      </w:r>
      <w:r>
        <w:rPr>
          <w:rStyle w:val="VerbatimChar"/>
        </w:rPr>
        <w:t xml:space="preserve">requirements.txt</w:t>
      </w:r>
      <w:r>
        <w:t xml:space="preserve"> </w:t>
      </w:r>
      <w:r>
        <w:t xml:space="preserve">at the repository root.</w:t>
      </w:r>
    </w:p>
    <w:bookmarkEnd w:id="30"/>
    <w:bookmarkStart w:id="31" w:name="random-seeding"/>
    <w:p>
      <w:pPr>
        <w:pStyle w:val="Heading3"/>
      </w:pPr>
      <w:r>
        <w:t xml:space="preserve">Random seeding</w:t>
      </w:r>
    </w:p>
    <w:p>
      <w:pPr>
        <w:pStyle w:val="FirstParagraph"/>
      </w:pPr>
      <w:r>
        <w:t xml:space="preserve">A global</w:t>
      </w:r>
      <w:r>
        <w:t xml:space="preserve"> </w:t>
      </w:r>
      <w:r>
        <w:rPr>
          <w:rStyle w:val="VerbatimChar"/>
        </w:rPr>
        <w:t xml:space="preserve">SEED = 42</w:t>
      </w:r>
      <w:r>
        <w:t xml:space="preserve"> </w:t>
      </w:r>
      <w:r>
        <w:t xml:space="preserve">is set at the top of every experiment script. Per-drug train/val/test splits are derived deterministically from this seed via a per-drug hash, ensuring exact reproducibility.</w:t>
      </w:r>
    </w:p>
    <w:bookmarkEnd w:id="31"/>
    <w:bookmarkStart w:id="32" w:name="execution-order"/>
    <w:p>
      <w:pPr>
        <w:pStyle w:val="Heading3"/>
      </w:pPr>
      <w:r>
        <w:t xml:space="preserve">Execution order</w:t>
      </w:r>
    </w:p>
    <w:p>
      <w:pPr>
        <w:pStyle w:val="FirstParagraph"/>
      </w:pPr>
      <w:r>
        <w:t xml:space="preserve">To reproduce all reported results from a fresh checkout of the repository:</w:t>
      </w:r>
    </w:p>
    <w:p>
      <w:pPr>
        <w:pStyle w:val="SourceCode"/>
      </w:pPr>
      <w:r>
        <w:rPr>
          <w:rStyle w:val="CommentTok"/>
        </w:rPr>
        <w:t xml:space="preserve"># 1. Clone and install</w:t>
      </w:r>
      <w:r>
        <w:br/>
      </w:r>
      <w:r>
        <w:rPr>
          <w:rStyle w:val="FunctionTok"/>
        </w:rPr>
        <w:t xml:space="preserve">git</w:t>
      </w:r>
      <w:r>
        <w:rPr>
          <w:rStyle w:val="NormalTok"/>
        </w:rPr>
        <w:t xml:space="preserve"> clone https://github.com/Clayton-code1/dl-pbpk-hybrid.git</w:t>
      </w:r>
      <w:r>
        <w:br/>
      </w:r>
      <w:r>
        <w:rPr>
          <w:rStyle w:val="BuiltInTok"/>
        </w:rPr>
        <w:t xml:space="preserve">cd</w:t>
      </w:r>
      <w:r>
        <w:rPr>
          <w:rStyle w:val="NormalTok"/>
        </w:rPr>
        <w:t xml:space="preserve"> dl-pbpk-hybrid</w:t>
      </w:r>
      <w:r>
        <w:br/>
      </w:r>
      <w:r>
        <w:rPr>
          <w:rStyle w:val="ExtensionTok"/>
        </w:rPr>
        <w:t xml:space="preserve">pip</w:t>
      </w:r>
      <w:r>
        <w:rPr>
          <w:rStyle w:val="NormalTok"/>
        </w:rPr>
        <w:t xml:space="preserve"> install </w:t>
      </w:r>
      <w:r>
        <w:rPr>
          <w:rStyle w:val="AttributeTok"/>
        </w:rPr>
        <w:t xml:space="preserve">-r</w:t>
      </w:r>
      <w:r>
        <w:rPr>
          <w:rStyle w:val="NormalTok"/>
        </w:rPr>
        <w:t xml:space="preserve"> requirements.txt</w:t>
      </w:r>
      <w:r>
        <w:br/>
      </w:r>
      <w:r>
        <w:br/>
      </w:r>
      <w:r>
        <w:rPr>
          <w:rStyle w:val="CommentTok"/>
        </w:rPr>
        <w:t xml:space="preserve"># 2. Generate simulated PK datasets for all six training drugs + ibuprofen</w:t>
      </w:r>
      <w:r>
        <w:br/>
      </w:r>
      <w:r>
        <w:rPr>
          <w:rStyle w:val="ExtensionTok"/>
        </w:rPr>
        <w:t xml:space="preserve">python</w:t>
      </w:r>
      <w:r>
        <w:rPr>
          <w:rStyle w:val="NormalTok"/>
        </w:rPr>
        <w:t xml:space="preserve"> </w:t>
      </w:r>
      <w:r>
        <w:rPr>
          <w:rStyle w:val="AttributeTok"/>
        </w:rPr>
        <w:t xml:space="preserve">-m</w:t>
      </w:r>
      <w:r>
        <w:rPr>
          <w:rStyle w:val="NormalTok"/>
        </w:rPr>
        <w:t xml:space="preserve"> experiments.data.download_pk_data </w:t>
      </w:r>
      <w:r>
        <w:rPr>
          <w:rStyle w:val="AttributeTok"/>
        </w:rPr>
        <w:t xml:space="preserve">--drugs</w:t>
      </w:r>
      <w:r>
        <w:rPr>
          <w:rStyle w:val="NormalTok"/>
        </w:rPr>
        <w:t xml:space="preserve"> theophylline warfarin midazolam caffeine acetaminophen digoxin ibuprofen</w:t>
      </w:r>
      <w:r>
        <w:br/>
      </w:r>
      <w:r>
        <w:br/>
      </w:r>
      <w:r>
        <w:rPr>
          <w:rStyle w:val="CommentTok"/>
        </w:rPr>
        <w:t xml:space="preserve"># 3. Featurise molecular graphs</w:t>
      </w:r>
      <w:r>
        <w:br/>
      </w:r>
      <w:r>
        <w:rPr>
          <w:rStyle w:val="ExtensionTok"/>
        </w:rPr>
        <w:t xml:space="preserve">python</w:t>
      </w:r>
      <w:r>
        <w:rPr>
          <w:rStyle w:val="NormalTok"/>
        </w:rPr>
        <w:t xml:space="preserve"> </w:t>
      </w:r>
      <w:r>
        <w:rPr>
          <w:rStyle w:val="AttributeTok"/>
        </w:rPr>
        <w:t xml:space="preserve">-m</w:t>
      </w:r>
      <w:r>
        <w:rPr>
          <w:rStyle w:val="NormalTok"/>
        </w:rPr>
        <w:t xml:space="preserve"> experiments.data.featurize_drugs</w:t>
      </w:r>
      <w:r>
        <w:br/>
      </w:r>
      <w:r>
        <w:br/>
      </w:r>
      <w:r>
        <w:rPr>
          <w:rStyle w:val="CommentTok"/>
        </w:rPr>
        <w:t xml:space="preserve"># 4. Train hybrid models per drug (uses pretrained encoder under artifacts/models/gnn_pretrain_combined_v1)</w:t>
      </w:r>
      <w:r>
        <w:br/>
      </w:r>
      <w:r>
        <w:rPr>
          <w:rStyle w:val="ExtensionTok"/>
        </w:rPr>
        <w:t xml:space="preserve">python</w:t>
      </w:r>
      <w:r>
        <w:rPr>
          <w:rStyle w:val="NormalTok"/>
        </w:rPr>
        <w:t xml:space="preserve"> </w:t>
      </w:r>
      <w:r>
        <w:rPr>
          <w:rStyle w:val="AttributeTok"/>
        </w:rPr>
        <w:t xml:space="preserve">-m</w:t>
      </w:r>
      <w:r>
        <w:rPr>
          <w:rStyle w:val="NormalTok"/>
        </w:rPr>
        <w:t xml:space="preserve"> experiments.training.train_multidrug_hybrid</w:t>
      </w:r>
      <w:r>
        <w:br/>
      </w:r>
      <w:r>
        <w:br/>
      </w:r>
      <w:r>
        <w:rPr>
          <w:rStyle w:val="CommentTok"/>
        </w:rPr>
        <w:t xml:space="preserve"># 5. Phase 1 evaluation</w:t>
      </w:r>
      <w:r>
        <w:br/>
      </w:r>
      <w:r>
        <w:rPr>
          <w:rStyle w:val="ExtensionTok"/>
        </w:rPr>
        <w:t xml:space="preserve">python</w:t>
      </w:r>
      <w:r>
        <w:rPr>
          <w:rStyle w:val="NormalTok"/>
        </w:rPr>
        <w:t xml:space="preserve"> </w:t>
      </w:r>
      <w:r>
        <w:rPr>
          <w:rStyle w:val="AttributeTok"/>
        </w:rPr>
        <w:t xml:space="preserve">-m</w:t>
      </w:r>
      <w:r>
        <w:rPr>
          <w:rStyle w:val="NormalTok"/>
        </w:rPr>
        <w:t xml:space="preserve"> experiments.evaluation.evaluate_multidrug </w:t>
      </w:r>
      <w:r>
        <w:rPr>
          <w:rStyle w:val="AttributeTok"/>
        </w:rPr>
        <w:t xml:space="preserve">--force</w:t>
      </w:r>
      <w:r>
        <w:br/>
      </w:r>
      <w:r>
        <w:br/>
      </w:r>
      <w:r>
        <w:rPr>
          <w:rStyle w:val="CommentTok"/>
        </w:rPr>
        <w:t xml:space="preserve"># 6. Phase 2 baselines and corrected realistic PBPK</w:t>
      </w:r>
      <w:r>
        <w:br/>
      </w:r>
      <w:r>
        <w:rPr>
          <w:rStyle w:val="ExtensionTok"/>
        </w:rPr>
        <w:t xml:space="preserve">python</w:t>
      </w:r>
      <w:r>
        <w:rPr>
          <w:rStyle w:val="NormalTok"/>
        </w:rPr>
        <w:t xml:space="preserve"> </w:t>
      </w:r>
      <w:r>
        <w:rPr>
          <w:rStyle w:val="AttributeTok"/>
        </w:rPr>
        <w:t xml:space="preserve">-m</w:t>
      </w:r>
      <w:r>
        <w:rPr>
          <w:rStyle w:val="NormalTok"/>
        </w:rPr>
        <w:t xml:space="preserve"> experiments.baselines.train_baselines</w:t>
      </w:r>
      <w:r>
        <w:br/>
      </w:r>
      <w:r>
        <w:rPr>
          <w:rStyle w:val="ExtensionTok"/>
        </w:rPr>
        <w:t xml:space="preserve">python</w:t>
      </w:r>
      <w:r>
        <w:rPr>
          <w:rStyle w:val="NormalTok"/>
        </w:rPr>
        <w:t xml:space="preserve"> </w:t>
      </w:r>
      <w:r>
        <w:rPr>
          <w:rStyle w:val="AttributeTok"/>
        </w:rPr>
        <w:t xml:space="preserve">-m</w:t>
      </w:r>
      <w:r>
        <w:rPr>
          <w:rStyle w:val="NormalTok"/>
        </w:rPr>
        <w:t xml:space="preserve"> experiments.baselines.correct_pbpk_realistic</w:t>
      </w:r>
      <w:r>
        <w:br/>
      </w:r>
      <w:r>
        <w:br/>
      </w:r>
      <w:r>
        <w:rPr>
          <w:rStyle w:val="CommentTok"/>
        </w:rPr>
        <w:t xml:space="preserve"># 7. Phase 2 ablations</w:t>
      </w:r>
      <w:r>
        <w:br/>
      </w:r>
      <w:r>
        <w:rPr>
          <w:rStyle w:val="ExtensionTok"/>
        </w:rPr>
        <w:t xml:space="preserve">python</w:t>
      </w:r>
      <w:r>
        <w:rPr>
          <w:rStyle w:val="NormalTok"/>
        </w:rPr>
        <w:t xml:space="preserve"> </w:t>
      </w:r>
      <w:r>
        <w:rPr>
          <w:rStyle w:val="AttributeTok"/>
        </w:rPr>
        <w:t xml:space="preserve">-m</w:t>
      </w:r>
      <w:r>
        <w:rPr>
          <w:rStyle w:val="NormalTok"/>
        </w:rPr>
        <w:t xml:space="preserve"> experiments.ablation.ablation_study</w:t>
      </w:r>
      <w:r>
        <w:br/>
      </w:r>
      <w:r>
        <w:br/>
      </w:r>
      <w:r>
        <w:rPr>
          <w:rStyle w:val="CommentTok"/>
        </w:rPr>
        <w:t xml:space="preserve"># 8. Phase 2 statistical tests</w:t>
      </w:r>
      <w:r>
        <w:br/>
      </w:r>
      <w:r>
        <w:rPr>
          <w:rStyle w:val="ExtensionTok"/>
        </w:rPr>
        <w:t xml:space="preserve">python</w:t>
      </w:r>
      <w:r>
        <w:rPr>
          <w:rStyle w:val="NormalTok"/>
        </w:rPr>
        <w:t xml:space="preserve"> </w:t>
      </w:r>
      <w:r>
        <w:rPr>
          <w:rStyle w:val="AttributeTok"/>
        </w:rPr>
        <w:t xml:space="preserve">-m</w:t>
      </w:r>
      <w:r>
        <w:rPr>
          <w:rStyle w:val="NormalTok"/>
        </w:rPr>
        <w:t xml:space="preserve"> experiments.statistics.significance_tests </w:t>
      </w:r>
      <w:r>
        <w:rPr>
          <w:rStyle w:val="AttributeTok"/>
        </w:rPr>
        <w:t xml:space="preserve">--prediction-cache</w:t>
      </w:r>
      <w:r>
        <w:rPr>
          <w:rStyle w:val="NormalTok"/>
        </w:rPr>
        <w:t xml:space="preserve"> experiments/results/phase2_prediction_cache_corrected.pkl </w:t>
      </w:r>
      <w:r>
        <w:rPr>
          <w:rStyle w:val="AttributeTok"/>
        </w:rPr>
        <w:t xml:space="preserve">--output-csv</w:t>
      </w:r>
      <w:r>
        <w:rPr>
          <w:rStyle w:val="NormalTok"/>
        </w:rPr>
        <w:t xml:space="preserve"> experiments/results/phase2_statistical_tests_final.csv</w:t>
      </w:r>
      <w:r>
        <w:br/>
      </w:r>
      <w:r>
        <w:br/>
      </w:r>
      <w:r>
        <w:rPr>
          <w:rStyle w:val="CommentTok"/>
        </w:rPr>
        <w:t xml:space="preserve"># 9. Phase 2 external validation</w:t>
      </w:r>
      <w:r>
        <w:br/>
      </w:r>
      <w:r>
        <w:rPr>
          <w:rStyle w:val="ExtensionTok"/>
        </w:rPr>
        <w:t xml:space="preserve">python</w:t>
      </w:r>
      <w:r>
        <w:rPr>
          <w:rStyle w:val="NormalTok"/>
        </w:rPr>
        <w:t xml:space="preserve"> </w:t>
      </w:r>
      <w:r>
        <w:rPr>
          <w:rStyle w:val="AttributeTok"/>
        </w:rPr>
        <w:t xml:space="preserve">-m</w:t>
      </w:r>
      <w:r>
        <w:rPr>
          <w:rStyle w:val="NormalTok"/>
        </w:rPr>
        <w:t xml:space="preserve"> experiments.phase2.external_ibuprofen</w:t>
      </w:r>
      <w:r>
        <w:br/>
      </w:r>
      <w:r>
        <w:br/>
      </w:r>
      <w:r>
        <w:rPr>
          <w:rStyle w:val="CommentTok"/>
        </w:rPr>
        <w:t xml:space="preserve"># 10. Phase 3 safety thresholds, uncertainty calibration, SHAP</w:t>
      </w:r>
      <w:r>
        <w:br/>
      </w:r>
      <w:r>
        <w:rPr>
          <w:rStyle w:val="ExtensionTok"/>
        </w:rPr>
        <w:t xml:space="preserve">python</w:t>
      </w:r>
      <w:r>
        <w:rPr>
          <w:rStyle w:val="NormalTok"/>
        </w:rPr>
        <w:t xml:space="preserve"> </w:t>
      </w:r>
      <w:r>
        <w:rPr>
          <w:rStyle w:val="AttributeTok"/>
        </w:rPr>
        <w:t xml:space="preserve">-m</w:t>
      </w:r>
      <w:r>
        <w:rPr>
          <w:rStyle w:val="NormalTok"/>
        </w:rPr>
        <w:t xml:space="preserve"> experiments.safety.safety_thresholds</w:t>
      </w:r>
      <w:r>
        <w:br/>
      </w:r>
      <w:r>
        <w:rPr>
          <w:rStyle w:val="ExtensionTok"/>
        </w:rPr>
        <w:t xml:space="preserve">python</w:t>
      </w:r>
      <w:r>
        <w:rPr>
          <w:rStyle w:val="NormalTok"/>
        </w:rPr>
        <w:t xml:space="preserve"> </w:t>
      </w:r>
      <w:r>
        <w:rPr>
          <w:rStyle w:val="AttributeTok"/>
        </w:rPr>
        <w:t xml:space="preserve">-m</w:t>
      </w:r>
      <w:r>
        <w:rPr>
          <w:rStyle w:val="NormalTok"/>
        </w:rPr>
        <w:t xml:space="preserve"> experiments.uncertainty.monte_carlo_calibration</w:t>
      </w:r>
      <w:r>
        <w:br/>
      </w:r>
      <w:r>
        <w:rPr>
          <w:rStyle w:val="ExtensionTok"/>
        </w:rPr>
        <w:t xml:space="preserve">python</w:t>
      </w:r>
      <w:r>
        <w:rPr>
          <w:rStyle w:val="NormalTok"/>
        </w:rPr>
        <w:t xml:space="preserve"> </w:t>
      </w:r>
      <w:r>
        <w:rPr>
          <w:rStyle w:val="AttributeTok"/>
        </w:rPr>
        <w:t xml:space="preserve">-m</w:t>
      </w:r>
      <w:r>
        <w:rPr>
          <w:rStyle w:val="NormalTok"/>
        </w:rPr>
        <w:t xml:space="preserve"> experiments.explainability.shap_interpretation</w:t>
      </w:r>
    </w:p>
    <w:p>
      <w:pPr>
        <w:pStyle w:val="FirstParagraph"/>
      </w:pPr>
      <w:r>
        <w:t xml:space="preserve">All output files (CSVs, plots, model checkpoints) are written under</w:t>
      </w:r>
      <w:r>
        <w:t xml:space="preserve"> </w:t>
      </w:r>
      <w:r>
        <w:rPr>
          <w:rStyle w:val="VerbatimChar"/>
        </w:rPr>
        <w:t xml:space="preserve">experiments/results/</w:t>
      </w:r>
      <w:r>
        <w:t xml:space="preserve">,</w:t>
      </w:r>
      <w:r>
        <w:t xml:space="preserve"> </w:t>
      </w:r>
      <w:r>
        <w:rPr>
          <w:rStyle w:val="VerbatimChar"/>
        </w:rPr>
        <w:t xml:space="preserve">experiments/plots/</w:t>
      </w:r>
      <w:r>
        <w:t xml:space="preserve">, and</w:t>
      </w:r>
      <w:r>
        <w:t xml:space="preserve"> </w:t>
      </w:r>
      <w:r>
        <w:rPr>
          <w:rStyle w:val="VerbatimChar"/>
        </w:rPr>
        <w:t xml:space="preserve">artifacts/models/</w:t>
      </w:r>
      <w:r>
        <w:t xml:space="preserve"> </w:t>
      </w:r>
      <w:r>
        <w:t xml:space="preserve">with deterministic filenames.</w:t>
      </w:r>
    </w:p>
    <w:bookmarkEnd w:id="32"/>
    <w:bookmarkStart w:id="33" w:name="pretraining-optional"/>
    <w:p>
      <w:pPr>
        <w:pStyle w:val="Heading3"/>
      </w:pPr>
      <w:r>
        <w:t xml:space="preserve">Pretraining (optional)</w:t>
      </w:r>
    </w:p>
    <w:p>
      <w:pPr>
        <w:pStyle w:val="FirstParagraph"/>
      </w:pPr>
      <w:r>
        <w:t xml:space="preserve">The molecular encoder weights are provided as artefacts at</w:t>
      </w:r>
      <w:r>
        <w:t xml:space="preserve"> </w:t>
      </w:r>
      <w:r>
        <w:rPr>
          <w:rStyle w:val="VerbatimChar"/>
        </w:rPr>
        <w:t xml:space="preserve">artifacts/models/gnn_pretrain_unsup_v1/</w:t>
      </w:r>
      <w:r>
        <w:t xml:space="preserve"> </w:t>
      </w:r>
      <w:r>
        <w:t xml:space="preserve">and</w:t>
      </w:r>
      <w:r>
        <w:t xml:space="preserve"> </w:t>
      </w:r>
      <w:r>
        <w:rPr>
          <w:rStyle w:val="VerbatimChar"/>
        </w:rPr>
        <w:t xml:space="preserve">artifacts/models/gnn_pretrain_combined_v1/</w:t>
      </w:r>
      <w:r>
        <w:t xml:space="preserve">. To reproduce pretraining from scratch:</w:t>
      </w:r>
    </w:p>
    <w:p>
      <w:pPr>
        <w:pStyle w:val="SourceCode"/>
      </w:pPr>
      <w:r>
        <w:rPr>
          <w:rStyle w:val="ExtensionTok"/>
        </w:rPr>
        <w:t xml:space="preserve">python</w:t>
      </w:r>
      <w:r>
        <w:rPr>
          <w:rStyle w:val="NormalTok"/>
        </w:rPr>
        <w:t xml:space="preserve"> </w:t>
      </w:r>
      <w:r>
        <w:rPr>
          <w:rStyle w:val="AttributeTok"/>
        </w:rPr>
        <w:t xml:space="preserve">-m</w:t>
      </w:r>
      <w:r>
        <w:rPr>
          <w:rStyle w:val="NormalTok"/>
        </w:rPr>
        <w:t xml:space="preserve"> src.training.pretrain_gnn_unsupervised</w:t>
      </w:r>
      <w:r>
        <w:br/>
      </w:r>
      <w:r>
        <w:rPr>
          <w:rStyle w:val="ExtensionTok"/>
        </w:rPr>
        <w:t xml:space="preserve">python</w:t>
      </w:r>
      <w:r>
        <w:rPr>
          <w:rStyle w:val="NormalTok"/>
        </w:rPr>
        <w:t xml:space="preserve"> </w:t>
      </w:r>
      <w:r>
        <w:rPr>
          <w:rStyle w:val="AttributeTok"/>
        </w:rPr>
        <w:t xml:space="preserve">-m</w:t>
      </w:r>
      <w:r>
        <w:rPr>
          <w:rStyle w:val="NormalTok"/>
        </w:rPr>
        <w:t xml:space="preserve"> src.training.pretrain_gnn_adme</w:t>
      </w:r>
    </w:p>
    <w:bookmarkEnd w:id="33"/>
    <w:bookmarkStart w:id="34" w:name="hardware-reproducibility"/>
    <w:p>
      <w:pPr>
        <w:pStyle w:val="Heading3"/>
      </w:pPr>
      <w:r>
        <w:t xml:space="preserve">Hardware reproducibility</w:t>
      </w:r>
    </w:p>
    <w:p>
      <w:pPr>
        <w:pStyle w:val="FirstParagraph"/>
      </w:pPr>
      <w:r>
        <w:t xml:space="preserve">All training was performed on a single Intel Core i7 laptop with 16 GB RAM (CPU only). Hybrid model training takes approximately 30 minutes per drug; unsupervised pretraining takes approximately 23 minutes; supervised ADME pretraining takes approximately 16 minutes. Total reproduction time from a fresh checkout is approximately 6–8 hours on equivalent hardware.</w:t>
      </w:r>
    </w:p>
    <w:p>
      <w:r>
        <w:pict>
          <v:rect style="width:0;height:1.5pt" o:hralign="center" o:hrstd="t" o:hr="t"/>
        </w:pict>
      </w:r>
    </w:p>
    <w:bookmarkEnd w:id="34"/>
    <w:bookmarkEnd w:id="35"/>
    <w:bookmarkStart w:id="39" w:name="X18b804ae708dfaafd3d20546fdcb12553fafeb8"/>
    <w:p>
      <w:pPr>
        <w:pStyle w:val="Heading2"/>
      </w:pPr>
      <w:r>
        <w:t xml:space="preserve">Supplementary Section S6 — Pretraining details</w:t>
      </w:r>
    </w:p>
    <w:bookmarkStart w:id="36" w:name="unsupervised-masked-atom-reconstruction"/>
    <w:p>
      <w:pPr>
        <w:pStyle w:val="Heading3"/>
      </w:pPr>
      <w:r>
        <w:t xml:space="preserve">Unsupervised masked-atom reconstruction</w:t>
      </w:r>
    </w:p>
    <w:p>
      <w:pPr>
        <w:pStyle w:val="FirstParagraph"/>
      </w:pPr>
      <w:r>
        <w:rPr>
          <w:bCs/>
          <w:b/>
        </w:rPr>
        <w:t xml:space="preserve">Corpus.</w:t>
      </w:r>
      <w:r>
        <w:t xml:space="preserve"> </w:t>
      </w:r>
      <w:r>
        <w:t xml:space="preserve">ChEMBL-derived SMILES, deduplicated. The full pool comprised 1,358,921 unique molecules. Training used a stratified sample of 9,000 molecules with 1,000 held out for validation.</w:t>
      </w:r>
    </w:p>
    <w:p>
      <w:pPr>
        <w:pStyle w:val="BodyText"/>
      </w:pPr>
      <w:r>
        <w:rPr>
          <w:bCs/>
          <w:b/>
        </w:rPr>
        <w:t xml:space="preserve">Objective.</w:t>
      </w:r>
      <w:r>
        <w:t xml:space="preserve"> </w:t>
      </w:r>
      <w:r>
        <w:t xml:space="preserve">Masked node-feature reconstruction. For each training molecule, 15% of atoms were randomly selected and their atom feature vectors were replaced with zero vectors. The model was trained to reconstruct the original atom features from neighbourhood context using mean squared error loss over the masked positions.</w:t>
      </w:r>
    </w:p>
    <w:p>
      <w:pPr>
        <w:pStyle w:val="BodyText"/>
      </w:pPr>
      <w:r>
        <w:rPr>
          <w:bCs/>
          <w:b/>
        </w:rPr>
        <w:t xml:space="preserve">Training schedule.</w:t>
      </w:r>
      <w:r>
        <w:t xml:space="preserve"> </w:t>
      </w:r>
      <w:r>
        <w:t xml:space="preserve">40 epochs, batch size 16, Adam optimiser with learning rate 10⁻³.</w:t>
      </w:r>
    </w:p>
    <w:p>
      <w:pPr>
        <w:pStyle w:val="BodyText"/>
      </w:pPr>
      <w:r>
        <w:rPr>
          <w:bCs/>
          <w:b/>
        </w:rPr>
        <w:t xml:space="preserve">Final losses (validation set).</w:t>
      </w:r>
      <w:r>
        <w:t xml:space="preserve"> </w:t>
      </w:r>
      <w:r>
        <w:t xml:space="preserve">- Loss: 0.00220</w:t>
      </w:r>
      <w:r>
        <w:t xml:space="preserve"> </w:t>
      </w:r>
      <w:r>
        <w:t xml:space="preserve">- Reconstruction RMSE: 0.0439</w:t>
      </w:r>
    </w:p>
    <w:p>
      <w:pPr>
        <w:pStyle w:val="BodyText"/>
      </w:pPr>
      <w:r>
        <w:rPr>
          <w:bCs/>
          <w:b/>
        </w:rPr>
        <w:t xml:space="preserve">Wall-clock.</w:t>
      </w:r>
      <w:r>
        <w:t xml:space="preserve"> </w:t>
      </w:r>
      <w:r>
        <w:t xml:space="preserve">1,402.6 seconds (≈23.4 minutes) on CPU.</w:t>
      </w:r>
    </w:p>
    <w:bookmarkEnd w:id="36"/>
    <w:bookmarkStart w:id="37" w:name="Xd0f78454a0e07a320d3d5a4f6ab58d18d331f45"/>
    <w:p>
      <w:pPr>
        <w:pStyle w:val="Heading3"/>
      </w:pPr>
      <w:r>
        <w:t xml:space="preserve">Supervised ADME pretraining (ESOL + Lipophilicity)</w:t>
      </w:r>
    </w:p>
    <w:p>
      <w:pPr>
        <w:pStyle w:val="FirstParagraph"/>
      </w:pPr>
      <w:r>
        <w:rPr>
          <w:bCs/>
          <w:b/>
        </w:rPr>
        <w:t xml:space="preserve">Datasets.</w:t>
      </w:r>
      <w:r>
        <w:t xml:space="preserve"> </w:t>
      </w:r>
      <w:r>
        <w:t xml:space="preserve">- ESOL (Delaney 2004): 1,128 raw molecules with measured aqueous solubility.</w:t>
      </w:r>
      <w:r>
        <w:t xml:space="preserve"> </w:t>
      </w:r>
      <w:r>
        <w:t xml:space="preserve">- Lipophilicity (MoleculeNet curated): 4,200 raw molecules with experimental octanol/water partition coefficient (logD at pH 7.4).</w:t>
      </w:r>
      <w:r>
        <w:t xml:space="preserve"> </w:t>
      </w:r>
      <w:r>
        <w:t xml:space="preserve">- Combined and deduplicated: 5,304 unique SMILES.</w:t>
      </w:r>
    </w:p>
    <w:p>
      <w:pPr>
        <w:pStyle w:val="BodyText"/>
      </w:pPr>
      <w:r>
        <w:rPr>
          <w:bCs/>
          <w:b/>
        </w:rPr>
        <w:t xml:space="preserve">Train/validation split.</w:t>
      </w:r>
      <w:r>
        <w:t xml:space="preserve"> </w:t>
      </w:r>
      <w:r>
        <w:t xml:space="preserve">4,509 training / 795 validation (val_fraction = 0.15).</w:t>
      </w:r>
    </w:p>
    <w:p>
      <w:pPr>
        <w:pStyle w:val="BodyText"/>
      </w:pPr>
      <w:r>
        <w:rPr>
          <w:bCs/>
          <w:b/>
        </w:rPr>
        <w:t xml:space="preserve">Objective.</w:t>
      </w:r>
      <w:r>
        <w:t xml:space="preserve"> </w:t>
      </w:r>
      <w:r>
        <w:t xml:space="preserve">Joint regression on both targets via a multi-head output. Loss is the mean of per-target MSE.</w:t>
      </w:r>
    </w:p>
    <w:p>
      <w:pPr>
        <w:pStyle w:val="BodyText"/>
      </w:pPr>
      <w:r>
        <w:rPr>
          <w:bCs/>
          <w:b/>
        </w:rPr>
        <w:t xml:space="preserve">Training schedule.</w:t>
      </w:r>
      <w:r>
        <w:t xml:space="preserve"> </w:t>
      </w:r>
      <w:r>
        <w:t xml:space="preserve">60 epochs, batch size 16, Adam learning rate 10⁻³. Initialised from unsupervised encoder weights (transfer initialisation explicitly enabled in config).</w:t>
      </w:r>
    </w:p>
    <w:p>
      <w:pPr>
        <w:pStyle w:val="BodyText"/>
      </w:pPr>
      <w:r>
        <w:rPr>
          <w:bCs/>
          <w:b/>
        </w:rPr>
        <w:t xml:space="preserve">Final losses (validation set).</w:t>
      </w:r>
      <w:r>
        <w:t xml:space="preserve"> </w:t>
      </w:r>
      <w:r>
        <w:t xml:space="preserve">- Joint MSE: 1.441</w:t>
      </w:r>
      <w:r>
        <w:t xml:space="preserve"> </w:t>
      </w:r>
      <w:r>
        <w:t xml:space="preserve">- Joint RMSE: 1.200 (property-task units; not directly comparable to PK units)</w:t>
      </w:r>
      <w:r>
        <w:t xml:space="preserve"> </w:t>
      </w:r>
      <w:r>
        <w:t xml:space="preserve">- Training loss: 0.864; training RMSE: 0.930</w:t>
      </w:r>
    </w:p>
    <w:p>
      <w:pPr>
        <w:pStyle w:val="BodyText"/>
      </w:pPr>
      <w:r>
        <w:rPr>
          <w:bCs/>
          <w:b/>
        </w:rPr>
        <w:t xml:space="preserve">Wall-clock.</w:t>
      </w:r>
      <w:r>
        <w:t xml:space="preserve"> </w:t>
      </w:r>
      <w:r>
        <w:t xml:space="preserve">960.9 seconds (≈16.0 minutes) on CPU.</w:t>
      </w:r>
    </w:p>
    <w:bookmarkEnd w:id="37"/>
    <w:bookmarkStart w:id="38" w:name="transfer-to-pk-fine-tuning"/>
    <w:p>
      <w:pPr>
        <w:pStyle w:val="Heading3"/>
      </w:pPr>
      <w:r>
        <w:t xml:space="preserve">Transfer to PK fine-tuning</w:t>
      </w:r>
    </w:p>
    <w:p>
      <w:pPr>
        <w:pStyle w:val="FirstParagraph"/>
      </w:pPr>
      <w:r>
        <w:t xml:space="preserve">The supervised ADME-pretrained encoder serves as the initialisation for the multi-drug hybrid model. For each drug’s PK fine-tuning:</w:t>
      </w:r>
    </w:p>
    <w:p>
      <w:pPr>
        <w:numPr>
          <w:ilvl w:val="0"/>
          <w:numId w:val="1004"/>
        </w:numPr>
        <w:pStyle w:val="Compact"/>
      </w:pPr>
      <w:r>
        <w:t xml:space="preserve">The pretrained encoder weights are loaded.</w:t>
      </w:r>
    </w:p>
    <w:p>
      <w:pPr>
        <w:numPr>
          <w:ilvl w:val="0"/>
          <w:numId w:val="1004"/>
        </w:numPr>
        <w:pStyle w:val="Compact"/>
      </w:pPr>
      <w:r>
        <w:t xml:space="preserve">The encoder is frozen for an initial head-only training phase (5 epochs for most drugs; 40 epochs for warfarin to permit stable head training before joint optimisation).</w:t>
      </w:r>
    </w:p>
    <w:p>
      <w:pPr>
        <w:numPr>
          <w:ilvl w:val="0"/>
          <w:numId w:val="1004"/>
        </w:numPr>
        <w:pStyle w:val="Compact"/>
      </w:pPr>
      <w:r>
        <w:t xml:space="preserve">The encoder is unfrozen and trained jointly with the fusion head and PBPK simulator at a reduced learning rate.</w:t>
      </w:r>
    </w:p>
    <w:p>
      <w:pPr>
        <w:pStyle w:val="FirstParagraph"/>
      </w:pPr>
      <w:r>
        <w:t xml:space="preserve">For ablation variant A3 (no transfer), this initialisation is replaced with random Xavier initialisation. For ablation variant A4 (frozen encoder), step 3 is skipped and the encoder remains frozen throughout training.</w:t>
      </w:r>
    </w:p>
    <w:p>
      <w:r>
        <w:pict>
          <v:rect style="width:0;height:1.5pt" o:hralign="center" o:hrstd="t" o:hr="t"/>
        </w:pict>
      </w:r>
    </w:p>
    <w:p>
      <w:pPr>
        <w:pStyle w:val="FirstParagraph"/>
      </w:pPr>
      <w:r>
        <w:rPr>
          <w:iCs/>
          <w:i/>
        </w:rPr>
        <w:t xml:space="preserve">End of Supplementary Information.</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2026-05-15T15:11:35Z</dcterms:created>
  <dcterms:modified xsi:type="dcterms:W3CDTF">2026-05-15T15:11:35Z</dcterms:modified>
</cp:coreProperties>
</file>

<file path=docProps/custom.xml><?xml version="1.0" encoding="utf-8"?>
<Properties xmlns="http://schemas.openxmlformats.org/officeDocument/2006/custom-properties" xmlns:vt="http://schemas.openxmlformats.org/officeDocument/2006/docPropsVTypes"/>
</file>